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65840437" w:name="document"/>
    <w:bookmarkEnd w:id="65840437"/>
    <w:p/>
    <w:p>
      <w:pPr>
        <w:widowControl w:val="on"/>
        <w:pBdr/>
        <w:spacing w:before="0" w:after="280" w:line="240" w:lineRule="auto"/>
        <w:ind w:left="0" w:right="0"/>
        <w:jc w:val="left"/>
      </w:pPr>
      <w:r>
        <w:rPr>
          <w:rFonts w:ascii="Arial" w:hAnsi="Arial" w:eastAsia="Arial" w:cs="Arial"/>
          <w:color w:val="363A40"/>
          <w:sz w:val="24"/>
          <w:szCs w:val="24"/>
        </w:rPr>
        <w:t xml:space="preserve">Dokument-ID: 1015675 | Alexandra Lenz-Cervinka
| Muster | Checkliste</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Scheidungsvergleich – Überblick</w:t>
      </w:r>
    </w:p>
    <w:p>
      <w:pPr>
        <w:numPr>
          <w:ilvl w:val="0"/>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Ehegattenunterhalt</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Beginn der Unterhaltszahlungen, Respiro</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Höhe, Wertsicherung</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Fälligkeit, Zahlungsmodalitäten (die Überweisung auf ein
festgelegtes Konto wird empfohlen)</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Festhalten, ob Rückstand besteht + allenfalls
Zahlungsvereinbarung über den Rückstand zum Zeitpunkt des
Vergleichsabschlusses</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Bemessungsgrundlage</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Weitere Sorgepflichten des Unterhaltspflichtigen</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Eigeneinkommen des Unterhaltsberechtigten</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Eventuelle Befristung des Ehegattenunterhalts</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Unterhaltsverzicht: entweder wechselseitig oder nur Verzicht
des Unterhaltsverpflichteten</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Gesetzliche Regelung, dass der Unterhalt bei Eingehen einer
Lebensgemeinschaft ruht und bei Wiederverheiratung erlischt – kann
abbedungen werden</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Regelung für Höhe des Unterhaltes bei Pensionseintritt,
Eintritt von Berufsunfähigkeit udgl</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Regelung der Vorgangsweise bei Änderung der
Bemessungsgrundlage</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Pensionsansprüche, vor allem bei Unterhaltsverzicht
beachten</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Witwenpensionsansprüche berücksichtigen</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Erlöschen der Mitversicherung bei Krankenversicherung
beachten</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Berücksichtigung der Fristen für freiwillige
Weiterversicherung, allenfalls Möglichkeit eines
Herabsetzungsantrages überprüfen</w:t>
      </w:r>
    </w:p>
    <w:p>
      <w:pPr>
        <w:numPr>
          <w:ilvl w:val="0"/>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Gemeinsame Kinder – Obsorge</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Obsorge beider Eltern soll nach Willen des Gesetzgebers
grundsätzlich auch nach Auflösung der Ehe weiterbestehen</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Obsorge bleibt hinsichtlich beider Elternteile aufrecht:
Regelung, in wessen Haushalt das Kind/die Kinder hauptsächlich
betreut werden</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Keine echte „Doppelresidenz“ möglich, in der Praxis aber immer
häufiger gelebt</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Allgemeiner Grundsatz: Derjenige Elternteil, der die
hauptsächliche Betreuung innehat, muss mit der gesamten Obsorge
betraut sein</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Betrauung eines Elternteiles alleine mit der Obsorge</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Beschränkung der Obsorge eines Elternteils</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Keine pflegschaftsgerichtliche Genehmigung mehr notwendig, aber
mögliche Unwirksamkeitserklärung durch das Gericht bei
Kindeswohlgefährdung</w:t>
      </w:r>
    </w:p>
    <w:p>
      <w:pPr>
        <w:numPr>
          <w:ilvl w:val="0"/>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Gemeinsame Kinder – Kontaktrecht</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Besonderes Naheverhältnis zum Elternteil soll gewahrt bzw
hergestellt werden</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Kontaktrecht soll auch Freizeit und Alltag umfassen</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Elternteil, der mit dem Kind nicht im gemeinsamen Haushalt
lebt, soll durch die Gestaltung der persönlichen Kontakte nicht in
die Rolle eines gelegentlichen Besuchers gedrängt werden</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Alter, Bedürfnisse, Wünsche des Kindes und bisherige Intensität
der Beziehung sind besonders zu berücksichtigen</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Kein Mindestbesuchsrecht festgelegt</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Oberster Grundsatz ist nach wie vor das Kindeswohl</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Kontaktrecht darf nicht der außergerichtlichen Regelung
vorbehalten werden</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Mögliche Regelungsinhalte: regelmäßige Wochenenden, Tage unter
der Woche, Ferienbesuchsrecht, Feiertagsbesuchsrecht, Regelung der
Geburtstage, Muttertag, Vatertag</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Bereitschaft der Eltern, die Regelung allenfalls an veränderte
Umstände anzupassen, ist von großer Wichtigkeit</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Hohes Maß an Flexibilität ist erforderlich</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Modalitäten: Abhol- und Zurückbringzeiten genau festlegen,
maximale Wartezeit auf Besuchsberechtigten, allenfalls Verfall des
Besuchsrechts bei Nichtausübung</w:t>
      </w:r>
    </w:p>
    <w:p>
      <w:pPr>
        <w:numPr>
          <w:ilvl w:val="0"/>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Gemeinsame Kinder – Kindesunterhalt</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Beginn der Zahlungen</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Höhe</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Fälligkeit, Zahlungsmodalitäten (es empfiehlt sich die
Überweisung auf ein Konto)</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Rückstände + allenfalls Zahlungsvereinbarung über den
Rückstand</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Bemessungsgrundlage der Unterhaltsberechnung</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Weitere Sorgepflichten des Unterhaltspflichtigen</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Familienbeihilfenbezug (allenfalls Änderung der
Bezugsberechtigung; Anrechnung)</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Festlegung, wie Unterhalt bemessen wurde (§ 231 ABGB)</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Festlegung, wer Familienbonus beziehen soll</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Schad- und Klaglosvereinbarung zwischen den Elternteilen
möglich, sofern die Vereinbarung darüber im Rahmen einer
umfassenden Regelung der Folgen einer Trennung vor Gericht
geschlossen wird. Dadurch wird berücksichtigt, dass Schad- und
Klagloshaltungen meist mit einer weitreichenden Regelung der
vermögensrechtlichen Folgen einer Trennung zusammenhängen und daher
regelmäßig entsprechend abgegolten werden.</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Regelung, wer allenfalls vorhandenen Bausparvertrag bedient
(Anrechnung auf Unterhalt ja/nein)</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Sonderbedarf</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Gerichtliche Vereinbarung über die Höhe des Unterhaltes ist
auch ohne gerichtliche Genehmigung wirksam und vollstreckbar und
für den Unterhaltsverpflichteten verbindlich</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Verzicht ist weiterhin nicht zulässig</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Kind ist an die Vereinbarung nicht gebunden, kann jederzeit
Erhöhung geltend machen, dies auch ohne Änderung der der
Vereinbarung zugrunde liegenden Umstände</w:t>
      </w:r>
    </w:p>
    <w:p>
      <w:pPr>
        <w:numPr>
          <w:ilvl w:val="0"/>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Eheliches Gebrauchsvermögen, eheliche Ersparnisse und
Schulden</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Ehewohnung/eheliches Haus im Eigentum: klären, wem die Wohnung
bzw das Haus künftig alleine gehören soll. Miteigentum nach der
Scheidung wenn möglich vermeiden (Konfliktpotenzial!)</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Bei Übertragung von Eigentum: Rangordnungsbeschluss
erwirken</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Zeitpunkt für Übergang der Kosten für Ehewohnung fixieren</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Betriebskostenrückstände, Betriebskostenguthaben udgl
klären</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Regelung über Kosten, Gebühren, Steuern und Abgaben, die im
Zusammenhang mit Liegenschaftsübertragung anfallen, treffen</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Räumungsvereinbarung treffen, allenfalls Verzicht auf
Räumungsaufschub</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Mitnahme Gegenstände klären</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Ehewohnung gemietet: Erklärung in den Scheidungsvergleich
aufnehmen, dass der Ehegatte, der auszieht, fristgerecht sämtliche
Erklärungen gegenüber dem Vermieter abgibt, die zur Übertragung der
Mietrechte notwendig sind</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Regeln, wer eine hinterlegte Kaution erhält</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Liste über Gegenstände anfertigen, die der ausziehende Ehegatte
mitnehmen darf. Die Gegenstände möglichst genau beschreiben, da
allenfalls Exekution geführt werden muss</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Frist für Abholung der Gegenstände vereinbaren; allenfalls
Recht auf Entsorgung der Gegenstände bei nicht fristgerechter
Abholung bzw Übergang in das Eigentum des anderen; Kostenregelung
für allenfalls notwendige Entsorgung</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Regelung Pkw, allenfalls Eigentumsübertragung;
Leasingfahrzeug</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Herausgabepflicht für die Fahrzeugpapiere terminlich
fixieren</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Haushaltsversicherung, Gebäudeversicherung etc: Übertragung und
allenfalls Zustimmungserklärung regeln</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Aufteilung Sparbücher</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Lebensversicherungen: überprüfen, ob für den Übergang
Erklärungen des ausscheidenden Ehepartners notwendig sind</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Schulden: Wer haftet? Kredite, Bankkonten, Leasingverträge
etc</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Antrag Ausfallsbürgschaft (am besten gleich im
Scheidungsvergleich beantragen)</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Ausgleichzahlung: Höhe, Fälligkeit, Zahlungsmodalitäten
(Raten), Zinsen, Terminsverlust</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Ausgleichszahlung allenfalls an eine Bedingung knüpfen
(fristgerechte Räumung etc), Pfandrecht zur Absicherung</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Abgeltung Miterwerb im Betrieb des anderen</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Kosten der einvernehmlichen Ehescheidung: Gerichtskosten,
Anwaltskosten</w:t>
      </w:r>
    </w:p>
    <w:p>
      <w:pPr>
        <w:numPr>
          <w:ilvl w:val="0"/>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 95 Abs 1a AußStrG</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Vor Abschluss oder Vorlage einer Regelung der Scheidungsfolgen
bei Gericht haben die Parteien zu bescheinigen, dass sie sich über
die spezifischen aus der Scheidung resultierenden Bedürfnisse ihrer
minderjährigen Kinder bei einer geeigneten Person oder Einrichtung
haben beraten lassen.</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Geeignete Personen oder Einrichtungen können sowohl die
etablierten Familienberatungsstellen als auch freiberuflich tätige
Psychologen und Pädagogen sein.</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Eine Einzelberatung der Eltern ist nicht erforderlich. Da eine
allgemeine Information über die mit einer Ehescheidung verbundenen
Folgen für minderjährige Kinder im Vordergrund steht, ist es auch
möglich, dass mehrere Elternpaare eine derartige Beratung gemeinsam
in Anspruch nehmen und dadurch die Kosten aufgeteilt werden.</w:t>
      </w:r>
    </w:p>
    <w:p>
      <w:pPr>
        <w:numPr>
          <w:ilvl w:val="0"/>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Notwendige Dokumente (im Original vorzulegen)</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Heiratsurkunde</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Staatsbürgerschaftsnachweise der Ehegatten</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Meldebestätigungen der Ehegatten</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Lichtbildausweise der Ehegatten</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Meldebestätigungen der Kinder</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Geburtsurkunden der gemeinsamen Kinder</w:t>
      </w:r>
    </w:p>
    <w:p>
      <w:pPr>
        <w:numPr>
          <w:ilvl w:val="1"/>
          <w:numId w:val="87595936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Bestätigung gem § 95 Abs 1a AußStrG</w:t>
      </w:r>
    </w:p>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5959362">
    <w:multiLevelType w:val="hybridMultilevel"/>
    <w:lvl w:ilvl="0">
      <w:start w:val=""/>
      <w:numFmt w:val="bullet"/>
      <w:lvlText w:val="●"/>
      <w:lvlJc w:val="left"/>
      <w:pPr>
        <w:ind w:left="720" w:hanging="360"/>
      </w:pPr>
      <w:rPr/>
    </w:lvl>
    <w:lvl w:ilvl="1">
      <w:start w:val=""/>
      <w:numFmt w:val="bullet"/>
      <w:lvlText w:val="○"/>
      <w:lvlJc w:val="left"/>
      <w:pPr>
        <w:ind w:left="1440" w:hanging="360"/>
      </w:pPr>
      <w:rPr/>
    </w:lvl>
    <w:lvl w:ilvl="2">
      <w:start w:val=""/>
      <w:numFmt w:val="bullet"/>
      <w:lvlText w:val=""/>
      <w:lvlJc w:val="left"/>
      <w:pPr>
        <w:ind w:left="2160" w:hanging="360"/>
      </w:pPr>
      <w:rPr>
        <w:rFonts w:ascii="Wingdings" w:hAnsi="Wingdings" w:cs="Wingdings" w:hint="default"/>
      </w:rPr>
    </w:lvl>
    <w:lvl w:ilvl="3">
      <w:start w:val=""/>
      <w:numFmt w:val="bullet"/>
      <w:lvlText w:val=""/>
      <w:lvlJc w:val="left"/>
      <w:pPr>
        <w:ind w:left="2880" w:hanging="360"/>
      </w:pPr>
      <w:rPr>
        <w:rFonts w:ascii="Symbol" w:hAnsi="Symbol" w:cs="Symbol" w:hint="default"/>
      </w:rPr>
    </w:lvl>
    <w:lvl w:ilvl="4">
      <w:start w:val=""/>
      <w:numFmt w:val="bullet"/>
      <w:lvlText w:val="o"/>
      <w:lvlJc w:val="left"/>
      <w:pPr>
        <w:ind w:left="3600" w:hanging="360"/>
      </w:pPr>
      <w:rPr>
        <w:rFonts w:ascii="Courier New" w:hAnsi="Courier New" w:cs="Courier New" w:hint="default"/>
      </w:rPr>
    </w:lvl>
    <w:lvl w:ilvl="5">
      <w:start w:val=""/>
      <w:numFmt w:val="bullet"/>
      <w:lvlText w:val=""/>
      <w:lvlJc w:val="left"/>
      <w:pPr>
        <w:ind w:left="4320" w:hanging="360"/>
      </w:pPr>
      <w:rPr>
        <w:rFonts w:ascii="Wingdings" w:hAnsi="Wingdings" w:cs="Wingdings" w:hint="default"/>
      </w:rPr>
    </w:lvl>
    <w:lvl w:ilvl="6">
      <w:start w:val=""/>
      <w:numFmt w:val="bullet"/>
      <w:lvlText w:val=""/>
      <w:lvlJc w:val="left"/>
      <w:pPr>
        <w:ind w:left="5040" w:hanging="360"/>
      </w:pPr>
      <w:rPr>
        <w:rFonts w:ascii="Symbol" w:hAnsi="Symbol" w:cs="Symbol" w:hint="default"/>
      </w:rPr>
    </w:lvl>
    <w:lvl w:ilvl="7">
      <w:start w:val=""/>
      <w:numFmt w:val="bullet"/>
      <w:lvlText w:val="o"/>
      <w:lvlJc w:val="left"/>
      <w:pPr>
        <w:ind w:left="5760" w:hanging="360"/>
      </w:pPr>
      <w:rPr>
        <w:rFonts w:ascii="Courier New" w:hAnsi="Courier New" w:cs="Courier New" w:hint="default"/>
      </w:rPr>
    </w:lvl>
    <w:lvl w:ilvl="8">
      <w:start w:val=""/>
      <w:numFmt w:val="bullet"/>
      <w:lvlText w:val=""/>
      <w:lvlJc w:val="left"/>
      <w:pPr>
        <w:ind w:left="6480" w:hanging="360"/>
      </w:pPr>
      <w:rPr>
        <w:rFonts w:ascii="Wingdings" w:hAnsi="Wingdings" w:cs="Wingdings" w:hint="default"/>
      </w:rPr>
    </w:lvl>
  </w:abstractNum>
  <w:abstractNum w:abstractNumId="131613950">
    <w:multiLevelType w:val="hybridMultilevel"/>
    <w:lvl w:ilvl="0">
      <w:start w:val=""/>
      <w:numFmt w:val="bullet"/>
      <w:lvlText w:val="●"/>
      <w:lvlJc w:val="left"/>
      <w:pPr>
        <w:ind w:left="720" w:hanging="360"/>
      </w:pPr>
      <w:rPr/>
    </w:lvl>
    <w:lvl w:ilvl="1">
      <w:start w:val=""/>
      <w:numFmt w:val="bullet"/>
      <w:lvlText w:val="○"/>
      <w:lvlJc w:val="left"/>
      <w:pPr>
        <w:ind w:left="1440" w:hanging="360"/>
      </w:pPr>
      <w:rPr/>
    </w:lvl>
    <w:lvl w:ilvl="2">
      <w:start w:val=""/>
      <w:numFmt w:val="bullet"/>
      <w:lvlText w:val=""/>
      <w:lvlJc w:val="left"/>
      <w:pPr>
        <w:ind w:left="2160" w:hanging="360"/>
      </w:pPr>
      <w:rPr>
        <w:rFonts w:ascii="Wingdings" w:hAnsi="Wingdings" w:cs="Wingdings" w:hint="default"/>
      </w:rPr>
    </w:lvl>
    <w:lvl w:ilvl="3">
      <w:start w:val=""/>
      <w:numFmt w:val="bullet"/>
      <w:lvlText w:val=""/>
      <w:lvlJc w:val="left"/>
      <w:pPr>
        <w:ind w:left="2880" w:hanging="360"/>
      </w:pPr>
      <w:rPr>
        <w:rFonts w:ascii="Symbol" w:hAnsi="Symbol" w:cs="Symbol" w:hint="default"/>
      </w:rPr>
    </w:lvl>
    <w:lvl w:ilvl="4">
      <w:start w:val=""/>
      <w:numFmt w:val="bullet"/>
      <w:lvlText w:val="o"/>
      <w:lvlJc w:val="left"/>
      <w:pPr>
        <w:ind w:left="3600" w:hanging="360"/>
      </w:pPr>
      <w:rPr>
        <w:rFonts w:ascii="Courier New" w:hAnsi="Courier New" w:cs="Courier New" w:hint="default"/>
      </w:rPr>
    </w:lvl>
    <w:lvl w:ilvl="5">
      <w:start w:val=""/>
      <w:numFmt w:val="bullet"/>
      <w:lvlText w:val=""/>
      <w:lvlJc w:val="left"/>
      <w:pPr>
        <w:ind w:left="4320" w:hanging="360"/>
      </w:pPr>
      <w:rPr>
        <w:rFonts w:ascii="Wingdings" w:hAnsi="Wingdings" w:cs="Wingdings" w:hint="default"/>
      </w:rPr>
    </w:lvl>
    <w:lvl w:ilvl="6">
      <w:start w:val=""/>
      <w:numFmt w:val="bullet"/>
      <w:lvlText w:val=""/>
      <w:lvlJc w:val="left"/>
      <w:pPr>
        <w:ind w:left="5040" w:hanging="360"/>
      </w:pPr>
      <w:rPr>
        <w:rFonts w:ascii="Symbol" w:hAnsi="Symbol" w:cs="Symbol" w:hint="default"/>
      </w:rPr>
    </w:lvl>
    <w:lvl w:ilvl="7">
      <w:start w:val=""/>
      <w:numFmt w:val="bullet"/>
      <w:lvlText w:val="o"/>
      <w:lvlJc w:val="left"/>
      <w:pPr>
        <w:ind w:left="5760" w:hanging="360"/>
      </w:pPr>
      <w:rPr>
        <w:rFonts w:ascii="Courier New" w:hAnsi="Courier New" w:cs="Courier New" w:hint="default"/>
      </w:rPr>
    </w:lvl>
    <w:lvl w:ilvl="8">
      <w:start w:val=""/>
      <w:numFmt w:val="bullet"/>
      <w:lvlText w:val=""/>
      <w:lvlJc w:val="left"/>
      <w:pPr>
        <w:ind w:left="6480" w:hanging="360"/>
      </w:pPr>
      <w:rPr>
        <w:rFonts w:ascii="Wingdings" w:hAnsi="Wingdings" w:cs="Wingdings" w:hint="default"/>
      </w:rPr>
    </w:lvl>
  </w:abstractNum>
  <w:abstractNum w:abstractNumId="25655777">
    <w:multiLevelType w:val="hybridMultilevel"/>
    <w:lvl w:ilvl="0" w:tplc="12609468">
      <w:start w:val="1"/>
      <w:numFmt w:val="decimal"/>
      <w:lvlText w:val="%1."/>
      <w:lvlJc w:val="left"/>
      <w:pPr>
        <w:ind w:left="720" w:hanging="360"/>
      </w:pPr>
    </w:lvl>
    <w:lvl w:ilvl="1" w:tplc="12609468" w:tentative="1">
      <w:start w:val="1"/>
      <w:numFmt w:val="lowerLetter"/>
      <w:lvlText w:val="%2."/>
      <w:lvlJc w:val="left"/>
      <w:pPr>
        <w:ind w:left="1440" w:hanging="360"/>
      </w:pPr>
    </w:lvl>
    <w:lvl w:ilvl="2" w:tplc="12609468" w:tentative="1">
      <w:start w:val="1"/>
      <w:numFmt w:val="lowerRoman"/>
      <w:lvlText w:val="%3."/>
      <w:lvlJc w:val="right"/>
      <w:pPr>
        <w:ind w:left="2160" w:hanging="180"/>
      </w:pPr>
    </w:lvl>
    <w:lvl w:ilvl="3" w:tplc="12609468" w:tentative="1">
      <w:start w:val="1"/>
      <w:numFmt w:val="decimal"/>
      <w:lvlText w:val="%4."/>
      <w:lvlJc w:val="left"/>
      <w:pPr>
        <w:ind w:left="2880" w:hanging="360"/>
      </w:pPr>
    </w:lvl>
    <w:lvl w:ilvl="4" w:tplc="12609468" w:tentative="1">
      <w:start w:val="1"/>
      <w:numFmt w:val="lowerLetter"/>
      <w:lvlText w:val="%5."/>
      <w:lvlJc w:val="left"/>
      <w:pPr>
        <w:ind w:left="3600" w:hanging="360"/>
      </w:pPr>
    </w:lvl>
    <w:lvl w:ilvl="5" w:tplc="12609468" w:tentative="1">
      <w:start w:val="1"/>
      <w:numFmt w:val="lowerRoman"/>
      <w:lvlText w:val="%6."/>
      <w:lvlJc w:val="right"/>
      <w:pPr>
        <w:ind w:left="4320" w:hanging="180"/>
      </w:pPr>
    </w:lvl>
    <w:lvl w:ilvl="6" w:tplc="12609468" w:tentative="1">
      <w:start w:val="1"/>
      <w:numFmt w:val="decimal"/>
      <w:lvlText w:val="%7."/>
      <w:lvlJc w:val="left"/>
      <w:pPr>
        <w:ind w:left="5040" w:hanging="360"/>
      </w:pPr>
    </w:lvl>
    <w:lvl w:ilvl="7" w:tplc="12609468" w:tentative="1">
      <w:start w:val="1"/>
      <w:numFmt w:val="lowerLetter"/>
      <w:lvlText w:val="%8."/>
      <w:lvlJc w:val="left"/>
      <w:pPr>
        <w:ind w:left="5760" w:hanging="360"/>
      </w:pPr>
    </w:lvl>
    <w:lvl w:ilvl="8" w:tplc="12609468" w:tentative="1">
      <w:start w:val="1"/>
      <w:numFmt w:val="lowerRoman"/>
      <w:lvlText w:val="%9."/>
      <w:lvlJc w:val="right"/>
      <w:pPr>
        <w:ind w:left="6480" w:hanging="180"/>
      </w:pPr>
    </w:lvl>
  </w:abstractNum>
  <w:abstractNum w:abstractNumId="25655776">
    <w:multiLevelType w:val="hybridMultilevel"/>
    <w:lvl w:ilvl="0" w:tplc="108827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655776">
    <w:abstractNumId w:val="25655776"/>
  </w:num>
  <w:num w:numId="25655777">
    <w:abstractNumId w:val="25655777"/>
  </w:num>
  <w:num w:numId="131613950">
    <w:abstractNumId w:val="131613950"/>
  </w:num>
  <w:num w:numId="875959362">
    <w:abstractNumId w:val="8759593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781372157" Type="http://schemas.openxmlformats.org/officeDocument/2006/relationships/numbering" Target="numbering.xml"/><Relationship Id="rId313117751"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