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39179971" w:name="document"/>
    <w:bookmarkEnd w:id="39179971"/>
    <w:p/>
    <w:p>
      <w:pPr>
        <w:widowControl w:val="on"/>
        <w:pBdr/>
        <w:spacing w:before="0" w:after="280" w:line="240" w:lineRule="auto"/>
        <w:ind w:left="0" w:right="0"/>
        <w:jc w:val="left"/>
      </w:pPr>
      <w:r>
        <w:rPr>
          <w:rFonts w:ascii="Arial" w:hAnsi="Arial" w:eastAsia="Arial" w:cs="Arial"/>
          <w:color w:val="363A40"/>
          <w:sz w:val="24"/>
          <w:szCs w:val="24"/>
        </w:rPr>
        <w:t xml:space="preserve">Dokument-ID: 1033069 | Alexandra Lenz-Cervinka
| Muster | Checkliste</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Besitzstörung unter Ehegatten, eingetragenen Partnern und
Lebensgefährten</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Besitzstörungsklagen sind auch zwischen Mitbesitzern und somit
auch zwischen Ehegatten, eingetragenen Partnern und Lebensgefährten
zulässig. Bei Mitbesitzern liegt eine Besitzstörung dann vor, wenn
einer der Mitbesitzer dem anderen eigenmächtig die Sache entzieht
und ihn dadurch von der Benutzung überhaupt ausschließt oder die
bisherige Gebrauchsordnung erheblich stört (LGZ Wien EF 51.383,
63.010, 117.164 uva). Dies zeigt sich in der Regel daran, dass sich
ein Mitbesitzer wie ein Alleinbesitzer verhält und die bisherigen
Benützungsverhältnisse dadurch erheblich verändert. Zwischen
Mitbesitzern kommt es also nicht darauf an, welche Gebrauchsrechte
bestehen, sondern lediglich darauf, welche bindende
Gebrauchsordnung zuletzt tatsächlich bestand. Beurteilungsmaßstab
für das Vorliegen einer (nicht einvernehmlichen) Veränderung des
faktischen Zustands als Ausgangspunkt für die Qualifizierung von
Eingriffen als Besitzstörungshandlungen ist daher die bisherige
Ausübung des Mitbesitzes (1 Ob 213/07s;
</w:t>
      </w:r>
      <w:r>
        <w:rPr>
          <w:rFonts w:ascii="Arial" w:hAnsi="Arial" w:eastAsia="Arial" w:cs="Arial"/>
          <w:i/>
          <w:iCs/>
          <w:color w:val="000000"/>
          <w:sz w:val="20"/>
          <w:szCs w:val="20"/>
        </w:rPr>
        <w:t xml:space="preserve">Gitschthaler/Höllwerth,</w:t>
      </w:r>
      <w:r>
        <w:rPr>
          <w:rFonts w:ascii="Arial" w:hAnsi="Arial" w:eastAsia="Arial" w:cs="Arial"/>
          <w:color w:val="000000"/>
          <w:sz w:val="20"/>
          <w:szCs w:val="20"/>
        </w:rPr>
        <w:t xml:space="preserve"> § 339 ABGB
</w:t>
      </w:r>
      <w:r>
        <w:rPr>
          <w:rFonts w:ascii="Arial" w:hAnsi="Arial" w:eastAsia="Arial" w:cs="Arial"/>
          <w:i/>
          <w:iCs/>
          <w:color w:val="000000"/>
          <w:sz w:val="20"/>
          <w:szCs w:val="20"/>
        </w:rPr>
        <w:t xml:space="preserve">[Beck]</w:t>
      </w:r>
      <w:r>
        <w:rPr>
          <w:rFonts w:ascii="Arial" w:hAnsi="Arial" w:eastAsia="Arial" w:cs="Arial"/>
          <w:color w:val="000000"/>
          <w:sz w:val="20"/>
          <w:szCs w:val="20"/>
        </w:rPr>
        <w:t xml:space="preserve">)</w:t>
      </w:r>
      <w:r>
        <w:rPr>
          <w:rFonts w:ascii="Arial" w:hAnsi="Arial" w:eastAsia="Arial" w:cs="Arial"/>
          <w:i/>
          <w:iCs/>
          <w:color w:val="000000"/>
          <w:sz w:val="20"/>
          <w:szCs w:val="20"/>
        </w:rPr>
        <w:t xml:space="preserve">.</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Besitzstörung unter Ehegatten liegt vor, wenn die
Gebrauchsordnung wesentlich gestört oder einer der Ehegatten vom
anderen von der Benutzung einer Sache ausgeschlossen wird (EFSlg
29.312; EFSlg 66.182, EFSlg 68.932, EFSlg 75.253 ua). Nimmt bspw
ein Ehegatte das gemeinsame Sparbuch eigenmächtig aus dem Banksafe,
wird die zwischen den Ehegatten bestehende Gebrauchsordnung im
Hinblick auf das Vorhandensein dieses Sparbuchs im gemeinsamen Safe
wesentlich gestört und der andere Ehegatte vom Zugriff auf das
gemeinsame Sparbuch ausgeschlossen, sodass eine Störung seines
Mitbesitzes am Sparbuch vorliegt (LGZ Wien EF 93.270). Die Beiträge
der Ehegatten zum Zustandekommen des Sparguthabens und die Frage
seiner Zugehörigkeit zum Aufteilungsvermögen iSd § 81 EheG
sind hingegen im Besitzstörungsverfahren unerheblich.</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Ehewohnung und Einrichtung:</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Den beiden Ehegatten steht nicht nur an der Ehewohnung
Mitbesitz zu (EFSlg 48.480, EFSlg 75.242 ua), sondern auch an den
in der ehelichen Wohnung befindlichen Hausrats- und
Einrichtungsgegenständen, wobei der Frage, ob diese Gegenstände vor
oder während der Ehe angeschafft wurden bzw in wessen Eigentum sie
stehen, keine Bedeutung zukommt (MietSlg 27.035, EFSlg 40.964,
EFSlg 45.927, EFSlg 66.180 ua), was grundsätzlich auch selbst
dadurch keine Änderung erfahren würde, wenn man von einer Aufhebung
der häuslichen Gemeinschaft zwischen den Ehegatten ausginge (EFSlg
56.874, EFSlg 63.020, EFSlg 75.258 ua).</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Mitbesitz der Ehegatten besteht auch an in der Ehewohnung
befindlichen elektronischen Geräten (vgl EFSlg 45.928).</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Ansicht, dass keine Besitzstörung vorliege, wenn in einem
Haushalt zwei oder mehrere gleichartige Geräte für die Ehegatten
vorhanden sein, trifft nicht zu, weil ein Ehegatte an allen
Gegenständen seinen Besitz ausüben kann (LGZ Wien EF 71.992).</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Besitzstörungen liegen auch dann vor, wenn ein Ehegatte bisher
gemeinsam benutzte Gegenstände aus der Wohnung im Keller versteckt
(LGZ Wien EF 54.104) oder sie in einem dem anderen Ehegatten zwar
zugänglichen Schlafzimmerkasten verwahrt, ihn aber darüber nicht in
Kenntnis setzt, sodass dieser davon ausgehen musste, dass der
Ehegatte diese Sachen bei seinem Auszug aus der Wohnung mitgenommen
hat (LGZ Wien EF 33.673).</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Mitnahme von ausschließlich durch gemeinsame Kinder
benutzten Gegenständen ist nicht als Besitzstörung zu werten.
Werden Sachen, die in der Ehewohnung bisher nur von den Kindern der
Ehegatten benützt wurden, von dem einen Ehegatten aus der Wohnung
gebracht, so liegt keine Entziehung eines Mitbesitzes des anderen
Ehegatten vor, weil durch die Verbringung dieser Sachen keine
beeinträchtigende Störung der Gebrauchsordnung gegeben ist (LGZ
Wien EF 68.933).</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Durch Entfernung von Gegenständen aus der Ehewohnung kann ein
Nachteil entstehen, da diese zuvor zur jederzeitigen Nutzung in der
Ehewohnung zur Verfügung standen. Ein Nachteil iSd § 339 ABGB
kann jedenfalls schon im Durchkreuzen des subjektiven Beliebens
liegen (vgl MietSlg 47.010, ZVR 1997, 200).</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Nachdem Besitz bzw Mitbesitz an beweglichen Sachen durch die
Benützung bzw Mitbenützung erworben wird, hat ein Ehegatte an in
der Wohnung befindlichen Gegenständen, die er noch nie benützt hat,
weder Besitz noch Mitbesitz. Durch die Wegnahme dieser Sachen durch
den anderen Ehegatten kann daher eine bestehende Gebrauchsordnung
zwischen den Ehegatten nicht gestört und eine Besitzstörungsklage
nicht gerechtfertigt werden (LGZ Wien EF 78.339).</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Anbringen eines neuen Schlosses an der Wohnungstür (oder
auch nur am Kellerabteil der Wohnung: LG Salzburg EF 93.271) durch
einen Mitbesitzer, der dem anderen den Schlüssel dazu vorenthält,
stellt eine Entziehungshandlung iS des § 339 ABGB dar, die nur
dann nicht als eigenmächtig zu beurteilen ist, wenn ihr der andere
Mitbesitzer zugestimmt bzw seinen Rechtsbesitz bis zum Zeitpunkt
des Schlusses der mündlichen Verhandlung erster Instanz über die
Besitzstörungsklage freiwillig aufgegeben hat (zum Beispiel LGZ
Wien EF 31.431, 117.165).</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Auch das nur fallweise Verschlossenhalten der Ehewohnung in der
Absicht, dem Ehegatten den Besitz daran nach Gutdünken, wenn auch
nur von Zeit zu Zeit, zu entziehen, erfüllt den Tatbestand der
Besitzstörung. War die Absicht des einen Ehegatten (etwa durch
Versperren der Eingangstür von innen und Steckenlassen des
Schlüssels) darauf ausgerichtet, dem anderen den Besitz an der
Wohnung zumindest zeitweise zu entziehen, wurde es diesem dadurch
unmöglich gemacht, die Wohnung, wann immer er wollte, zu betreten,
sodass dadurch in seinen (Mit)Besitz eingegriffen wurde (LGZ Wien
EF 33.672 = Miet 31.018).</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Wegweisung eines Ehegatten aus der Wohnung mit einer
einstweiligen Verfügung gem § 382b Abs 1 EO als
Instrument der einstweiligen Konfliktregelung berechtigt den
verbliebenen Ehegatten nicht zum Austausch der Türschlösser. Da
eine Besitzaufgabe im Zweifel nicht zu vermuten ist und das
Verlassen der Wohnung unter diesen Umständen nicht freiwillig
erfolgte, kann aus dem Auszug nicht die Schaffung einer neuen
Gebrauchsordnung abgeleitet werden. Der Mitbesitz erlischt somit
nicht durch Wegweisung. Daher liegt eine Besitzstörung vor, wenn
der in der Ehewohnung verbliebene Ehegatte in einem solchen Fall
die Türschlösser austauschen ließ und dem Weggewiesenen keinen
Schlüssel aushändigte (LGZ Wien EF 33.675).</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Pkw: Die Wegnahme eines Pkw stellt eine Entziehung des
typischen Gebrauches dar und begründet hierdurch jedenfalls einen
im Durchkreuzen des subjektiven Beliebens des bisherigen Besitzers
gelegenen Nachteil, weil dieser jederzeit mit dem Fahrzeug fahren
hätte können (vgl EFSlg 84.280).</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Wegnahme des Fahrzeuges durch den Ehegatten, eingetragenen
Partner oder Lebensgefährten stellt eine Entziehung des typischen
Gebrauchs und damit einen Nachteil dar, wie er eine Voraussetzung
für die Qualifizierung als Besitzstörungshandlung bildet. Der
Umstand, dass der Kläger seiner Verpflichtung zur Zahlung der vom
Konto des anderen abgebuchten Versicherungsprämien im
Innenverhältnis nicht nachkommt, rechtfertigt nicht die Wegnahme
des Fahrzeuges (LGZ Wien EF 94.289). Durch solches Verhalten hat
der Beklagte den Rechtsbesitz des Klägers am Pkw eigenmächtig
gestört.</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Telefonanschluss: Die Benützungsmöglichkeit eines Telefons in
der gemeinsamen Wohnung stellt die Ausübung eines besitzfähigen
Rechts durch beide Mitbesitzer dar, wobei Eingriffe in die
bestehende Gebrauchsordnung Besitzstörungshandlungen sind. Wer
gegenüber der Fernmeldebehörde Vertragspartner ist und somit als
Fernsprechteilnehmer aufscheint, ist für eine Besitzstörung
unerheblich. Der Einwand, wonach der Kläger die Kosten des
Telefonanschlusses getragen hätte, ist im Besitzstörungsverfahren
ebenfalls unbeachtlich, weil die Verpflichtung zur Kostentragung im
Innenverhältnis in diesem Prozess irrelevant ist (LGZ Wien EF
51.389, 109.042). Maßgeblich für das Vorliegen einer Besitzstörung
ist in diesem Zusammenhang, dass der Ehegatte insofern im
(Mit)Besitz des Telefonanschlusses war, als er dort – unabhängig
von der Frage, wer Anschlussinhaber ist – unter der konkreten
Telefonnummer (LGZ Wien EF 89.918) Telefonate tätigen und
entgegennehmen konnte, und dass ihm das Telefonieren in der Wohnung
in der Folge nicht mehr möglich war. Das Abmelden des bisher
gemeinsam benutzten Telefons (LGZ Wien EF 111.023) bzw die
Veranlassung der Aktivsperre des Telefons (LGZ Wien EF 111.023),
die Verhinderung der Benutzung des Telefons durch dessen Entfernung
(LGZ Wien EF 40.966f) oder das Anbringen eines Schlosses am
Telefongerät (LGZ Wien EF 111.023) sind Besitzstörungen, die dazu
führen, dass der beklagte Ehegatte den früheren Zustand durch
Wiederanmeldung des Anschlusses bzw Zurückstellung des Geräts
wiederherstellen muss. Besteht die bisherige Gebrauchsordnung
darin, dass zwei Festnetzanschlüsse in der Ehewohnung verwendet
werden, so wird durch die einseitige Anbringung einer Aktivsperre
an einem dieser Anschlüsse eine Besitzstörung verwirklicht (LGZ
Wien EF 96.864) (Ehe- und Partnerschaftsrecht, Kommentar,
</w:t>
      </w:r>
      <w:r>
        <w:rPr>
          <w:rFonts w:ascii="Arial" w:hAnsi="Arial" w:eastAsia="Arial" w:cs="Arial"/>
          <w:i/>
          <w:iCs/>
          <w:color w:val="000000"/>
          <w:sz w:val="20"/>
          <w:szCs w:val="20"/>
        </w:rPr>
        <w:t xml:space="preserve">Gitschthaler-Höllwerth,</w:t>
      </w:r>
      <w:r>
        <w:rPr>
          <w:rFonts w:ascii="Arial" w:hAnsi="Arial" w:eastAsia="Arial" w:cs="Arial"/>
          <w:color w:val="000000"/>
          <w:sz w:val="20"/>
          <w:szCs w:val="20"/>
        </w:rPr>
        <w:t xml:space="preserve"> zu § 339 ABGB, 4.
</w:t>
      </w:r>
      <w:r>
        <w:rPr>
          <w:rFonts w:ascii="Arial" w:hAnsi="Arial" w:eastAsia="Arial" w:cs="Arial"/>
          <w:i/>
          <w:iCs/>
          <w:color w:val="000000"/>
          <w:sz w:val="20"/>
          <w:szCs w:val="20"/>
        </w:rPr>
        <w:t xml:space="preserve">[Beck]</w:t>
      </w:r>
      <w:r>
        <w:rPr>
          <w:rFonts w:ascii="Arial" w:hAnsi="Arial" w:eastAsia="Arial" w:cs="Arial"/>
          <w:color w:val="000000"/>
          <w:sz w:val="20"/>
          <w:szCs w:val="20"/>
        </w:rPr>
        <w:t xml:space="preserve">)</w:t>
      </w:r>
      <w:r>
        <w:rPr>
          <w:rFonts w:ascii="Arial" w:hAnsi="Arial" w:eastAsia="Arial" w:cs="Arial"/>
          <w:i/>
          <w:iCs/>
          <w:color w:val="000000"/>
          <w:sz w:val="20"/>
          <w:szCs w:val="20"/>
        </w:rPr>
        <w:t xml:space="preserve">.</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Ehegatte, der das Telefon der Ehewohnung abmeldet, kann dem
Begehren des anderen, festzustellen, dass dieser ihn im Besitz des
Telefons gestört habe, und auszusprechen, dass er verpflichtet sei,
sich künftig derartiger Störungen zu enthalten und den vorigen
Zustand durch entsprechende Erklärung gegenüber der zuständigen
Stelle wieder herzustellen, nicht mit Erfolg entgegnen, die
Wiederherstellung sei nicht möglich, weil als
Wiederherstellungsmaßnahme nur ein neuer Antrag auf Anschluss eines
Telefonapparats gestellt werden könne. Im Besitzstörungsverfahren
hat der Kläger nicht nur ein Interesse an der Wiederherstellung,
sondern auch an der Feststellung der Störung und dem an den
Beklagten gerichteten Verbot einer künftigen Störung (LGZ Wien EF
36.080).</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Zahlungspflicht für die Telefonkosten ist im
Besitzstörungsverfahren bedeutungslos; dem Beklagten ist daher der
Einwand stark ansteigender Telefonkosten regelmäßig verwehrt, wenn
er auch die Möglichkeit hat, mittels Klage (oder bei besonders
dringlichen Fällen mittels EV) vorzugehen (LGZ Wien EF 56.873,
107.997). Nur in Ausnahmefällen, in denen sogar eine EV zu spät
käme, wird dem Ehegatten ein Selbsthilferecht eingeräumt. Eine
solche Konstellation liegt etwa dann vor, wenn innerhalb kurzer
Zeit (beispielsweise binnen 24 Stunden) infolge des Verhalten des
Beklagten extrem hohe Telefongebühren anfallen und diese nicht
einmal mit einer EV vor Eintritt des Schadens unterbunden werden
können (LGZ Wien EF 63.018, 107.997); nicht hingegen dann, wenn der
Beklagte entgegen der bisherigen Gebrauchsordnung einmal eine
außergewöhnlich hohe Telefonrechnung verursacht hat (LGZ Wien EF
48.499 [ca EUR 140,–]).</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Auszug aus der gemeinsamen Ehewohnung: Das Ausziehen eines
Ehegatten aus der gemeinsamen Wohnung kann eine Besitzaufgabe
bedeuten, dies ist jedoch im Einzelfall sorgfältig zu prüfen. Im
Zweifel ist eine Besitzaufgabe nicht zu vermuten LGZ Wien EF
123.569 uva), und zwar auch dann nicht, wenn ein Ehegatte
freiwillig aus der Ehewohnung mit dem Willen auszieht, die
Ehegemeinschaft endgültig aufzuheben (LGZ Wien 119.989). Vom
Willen, das eheliche Zusammenleben zu beenden, ist somit nicht
schon auf den Willen, auch den Besitz an der Ehewohnung aufzugeben,
zu schließen. Der Mitbesitz an der Wohnung und an
Hausratsgegenständen geht daher im Allgemeinen nicht verloren, wenn
der Ehegatte die Wohnung infolge gewisser Umstände tatsächlich
nicht mehr bewohnt, weil gem § 351 ABGB der bloße
Nichtgebrauch eines Rechts noch nicht zum Besitzverlust führt (LGZ
Wien EF 93.259).</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Eine schlüssige Besitzaufgabe liegt nur dann vor, wenn aufgrund
besonderer Umstände des Einzelfalls ein Verhalten vernünftigerweise
keine andere Deutung zulässt (LGZ Wien EF 123.569 uva) und die
Willensbildung des Ehegatten eindeutig im Sinne einer Aufgabe des
Besitzes zu werten ist. Durch die urlaubsbedingte Abwesenheit ist
ein Verzicht auf Besitzrechte an der Ehewohnung und den darin
befindlichen Gegenständen selbstverständlich nicht gegeben (LGZ
Wien EF 96.861).</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Behalten des Wohnungsschlüssels spricht im Allgemeinen
eindeutig gegen die Absicht der Besitzaufgabe (LGZ Wien EF 123.569
uva). Dies gilt auch dann, wenn ein endgültiger Auszug erfolgt ist.
Wenn ein Ehegatte die Wohnung noch von Zeit zu Zeit aufsucht, über
den Wohnungsschlüssel verfügt und in der Wohnung auch noch Sachen
hat, kann daher nicht von einer Aufgabe des Besitzes an der Wohnung
gesprochen werden (LGZ Wien 93.261)</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Besitzstörung durch Unterlassung: Eine Unterlassung stellt
keine Besitzstörung iSd § 339 ABGB dar. Daher wird etwa durch
das Unterbleiben der Zahlung der Kreditraten für die Anschaffung
der Ehewohnung der Besitz an ihr nicht gestört (LGZ Wien EF
87.133), weil dem Bankinstitut nicht die Möglichkeit offen steht,
dem Besitzer im Fall eines Leistungsverzugs die Benutzung der
Wohnung unmittelbar zu entziehen. Ein bisher bestehender
Rechtsbesitz verschafft einem Ehegatten keinen Rechtsanspruch auf
künftige Zahlungen. Überdies können Forderungen, die erst künftig
fällig werden, schon begrifflich nicht einem Anspruch auf
Wiederherstellung des früheren Zustands zugeordnet werden.</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Unterlassen einer bisher regelmäßig erbrachten Leistung
(bspw die Zahlung der Telefongebühren oder Energiekosten durch
einen Ehegatten) kann nur dann ausnahmsweise eine Störung des
Rechtsbesitzes darstellen, wenn der bisher Zahlende zugleich seine
Verpflichtung überhaupt bestreitet (LGZ Wien EF 51.386,
93.257).</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 eigenmächtiger Eingriff in den Besitz einer Wohnung im
Sinne dieser Rechtsprechung kann nicht nur durch Kündigung des
Strom- und Gasbezugsvertrags, sondern ebenfalls durch die
Unterlassung der Zahlung der Rechnungen erfolgen, welche dann eine
Einstellung der Strom- und Gaslieferungen zur Folge hat (LGZ Wien
EF 51.388, 71.986, 114.025). Auch ein solches Verhalten ist
gem § 339 ABGB grundsätzlich verboten (LGZ Wien EF
71.986, 111.023). Werden hingegen die Rechnungen nicht (mehr)
bezahlt und kommt es dennoch nicht zum Eintritt einer Störung des
Rechtsbesitzes in Form des Rechts auf Strom- und Gasbezugs, ist die
Besitzstörungsklage nicht berechtigt (LGZ Wien EF 71.987, 114.025,
117.166).</w:t>
      </w:r>
    </w:p>
    <w:p>
      <w:pPr>
        <w:numPr>
          <w:ilvl w:val="0"/>
          <w:numId w:val="873795244"/>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Nach diesen Leitsätzen der Rechtsprechung löst somit das bloße
Unterlassen weiterer Zahlungen – im Gegensatz zur Einstellung der
bisher erbrachten Leistungen mit gleichzeitiger Bestreitung der
Zahlungsverpflichtung dem Grunde nach – keine im
Besitzstörungsverfahren bekämpfbare Beeinträchtigung des letzten
Besitzstandes aus. In der Praxis wird diese Differenzierung aber
nur selten klar vorzunehmen sein und regelmäßig vom
Aussageverhalten des Beklagten und von den Umständen des
Einzelfalls abhängen.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3795244">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121753184">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35016095">
    <w:multiLevelType w:val="hybridMultilevel"/>
    <w:lvl w:ilvl="0" w:tplc="54480880">
      <w:start w:val="1"/>
      <w:numFmt w:val="decimal"/>
      <w:lvlText w:val="%1."/>
      <w:lvlJc w:val="left"/>
      <w:pPr>
        <w:ind w:left="720" w:hanging="360"/>
      </w:pPr>
    </w:lvl>
    <w:lvl w:ilvl="1" w:tplc="54480880" w:tentative="1">
      <w:start w:val="1"/>
      <w:numFmt w:val="lowerLetter"/>
      <w:lvlText w:val="%2."/>
      <w:lvlJc w:val="left"/>
      <w:pPr>
        <w:ind w:left="1440" w:hanging="360"/>
      </w:pPr>
    </w:lvl>
    <w:lvl w:ilvl="2" w:tplc="54480880" w:tentative="1">
      <w:start w:val="1"/>
      <w:numFmt w:val="lowerRoman"/>
      <w:lvlText w:val="%3."/>
      <w:lvlJc w:val="right"/>
      <w:pPr>
        <w:ind w:left="2160" w:hanging="180"/>
      </w:pPr>
    </w:lvl>
    <w:lvl w:ilvl="3" w:tplc="54480880" w:tentative="1">
      <w:start w:val="1"/>
      <w:numFmt w:val="decimal"/>
      <w:lvlText w:val="%4."/>
      <w:lvlJc w:val="left"/>
      <w:pPr>
        <w:ind w:left="2880" w:hanging="360"/>
      </w:pPr>
    </w:lvl>
    <w:lvl w:ilvl="4" w:tplc="54480880" w:tentative="1">
      <w:start w:val="1"/>
      <w:numFmt w:val="lowerLetter"/>
      <w:lvlText w:val="%5."/>
      <w:lvlJc w:val="left"/>
      <w:pPr>
        <w:ind w:left="3600" w:hanging="360"/>
      </w:pPr>
    </w:lvl>
    <w:lvl w:ilvl="5" w:tplc="54480880" w:tentative="1">
      <w:start w:val="1"/>
      <w:numFmt w:val="lowerRoman"/>
      <w:lvlText w:val="%6."/>
      <w:lvlJc w:val="right"/>
      <w:pPr>
        <w:ind w:left="4320" w:hanging="180"/>
      </w:pPr>
    </w:lvl>
    <w:lvl w:ilvl="6" w:tplc="54480880" w:tentative="1">
      <w:start w:val="1"/>
      <w:numFmt w:val="decimal"/>
      <w:lvlText w:val="%7."/>
      <w:lvlJc w:val="left"/>
      <w:pPr>
        <w:ind w:left="5040" w:hanging="360"/>
      </w:pPr>
    </w:lvl>
    <w:lvl w:ilvl="7" w:tplc="54480880" w:tentative="1">
      <w:start w:val="1"/>
      <w:numFmt w:val="lowerLetter"/>
      <w:lvlText w:val="%8."/>
      <w:lvlJc w:val="left"/>
      <w:pPr>
        <w:ind w:left="5760" w:hanging="360"/>
      </w:pPr>
    </w:lvl>
    <w:lvl w:ilvl="8" w:tplc="54480880" w:tentative="1">
      <w:start w:val="1"/>
      <w:numFmt w:val="lowerRoman"/>
      <w:lvlText w:val="%9."/>
      <w:lvlJc w:val="right"/>
      <w:pPr>
        <w:ind w:left="6480" w:hanging="180"/>
      </w:pPr>
    </w:lvl>
  </w:abstractNum>
  <w:abstractNum w:abstractNumId="35016094">
    <w:multiLevelType w:val="hybridMultilevel"/>
    <w:lvl w:ilvl="0" w:tplc="637733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016094">
    <w:abstractNumId w:val="35016094"/>
  </w:num>
  <w:num w:numId="35016095">
    <w:abstractNumId w:val="35016095"/>
  </w:num>
  <w:num w:numId="121753184">
    <w:abstractNumId w:val="121753184"/>
  </w:num>
  <w:num w:numId="873795244">
    <w:abstractNumId w:val="8737952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513724073" Type="http://schemas.openxmlformats.org/officeDocument/2006/relationships/numbering" Target="numbering.xml"/><Relationship Id="rId764655009"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