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97797542" w:name="document"/>
    <w:bookmarkEnd w:id="97797542"/>
    <w:p/>
    <w:p>
      <w:pPr>
        <w:widowControl w:val="on"/>
        <w:pBdr/>
        <w:spacing w:before="0" w:after="280" w:line="240" w:lineRule="auto"/>
        <w:ind w:left="0" w:right="0"/>
        <w:jc w:val="left"/>
      </w:pPr>
      <w:r>
        <w:rPr>
          <w:rFonts w:ascii="Arial" w:hAnsi="Arial" w:eastAsia="Arial" w:cs="Arial"/>
          <w:color w:val="363A40"/>
          <w:sz w:val="24"/>
          <w:szCs w:val="24"/>
        </w:rPr>
        <w:t xml:space="preserve">Dokument-ID: 874954 | WEKA (red) - Albert
Scherzer - Sascha Jung | Muster | Vertragsmuster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Hardware-Servicevertrag</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Hardware-Service und
Pflegevertrag</w:t>
      </w:r>
    </w:p>
    <w:p>
      <w:pPr>
        <w:widowControl w:val="on"/>
        <w:pBdr/>
        <w:spacing w:before="140" w:after="240" w:line="288" w:lineRule="auto"/>
        <w:ind w:left="0" w:right="0"/>
        <w:jc w:val="center"/>
      </w:pPr>
      <w:r>
        <w:rPr>
          <w:rFonts w:ascii="Arial" w:hAnsi="Arial" w:eastAsia="Arial" w:cs="Arial"/>
          <w:color w:val="000000"/>
          <w:sz w:val="20"/>
          <w:szCs w:val="20"/>
        </w:rPr>
        <w:t xml:space="preserve">abgeschlossen</w:t>
      </w:r>
      <w:r>
        <w:rPr>
          <w:rFonts w:ascii="Arial" w:hAnsi="Arial" w:eastAsia="Arial" w:cs="Arial"/>
          <w:color w:val="000000"/>
          <w:sz w:val="20"/>
          <w:szCs w:val="20"/>
        </w:rPr>
        <w:br/>
        <w:t xml:space="preserve">zwischen</w:t>
      </w:r>
    </w:p>
    <w:p>
      <w:pPr>
        <w:widowControl w:val="on"/>
        <w:pBdr/>
        <w:spacing w:before="140" w:after="240" w:line="288" w:lineRule="auto"/>
        <w:ind w:left="0" w:right="0"/>
        <w:jc w:val="left"/>
      </w:pPr>
      <w:r>
        <w:rPr>
          <w:rFonts w:ascii="Arial" w:hAnsi="Arial" w:eastAsia="Arial" w:cs="Arial"/>
          <w:color w:val="000000"/>
          <w:sz w:val="20"/>
          <w:szCs w:val="20"/>
        </w:rPr>
        <w:t xml:space="preserve">der IT Gmbh – nachstehend „Anbieter“ genannt –</w:t>
      </w:r>
      <w:r>
        <w:rPr>
          <w:rFonts w:ascii="Arial" w:hAnsi="Arial" w:eastAsia="Arial" w:cs="Arial"/>
          <w:color w:val="000000"/>
          <w:sz w:val="20"/>
          <w:szCs w:val="20"/>
        </w:rPr>
        <w:br/>
        <w:t xml:space="preserve">und</w:t>
      </w:r>
      <w:r>
        <w:rPr>
          <w:rFonts w:ascii="Arial" w:hAnsi="Arial" w:eastAsia="Arial" w:cs="Arial"/>
          <w:color w:val="000000"/>
          <w:sz w:val="20"/>
          <w:szCs w:val="20"/>
        </w:rPr>
        <w:br/>
        <w:t xml:space="preserve">der XY GmbH – nachstehend „Kunde“ genannt –</w:t>
      </w:r>
    </w:p>
    <w:p>
      <w:pPr>
        <w:widowControl w:val="on"/>
        <w:pBdr/>
        <w:spacing w:before="140" w:after="240" w:line="288" w:lineRule="auto"/>
        <w:ind w:left="0" w:right="0"/>
        <w:jc w:val="left"/>
      </w:pPr>
      <w:r>
        <w:rPr>
          <w:rFonts w:ascii="Arial" w:hAnsi="Arial" w:eastAsia="Arial" w:cs="Arial"/>
          <w:color w:val="000000"/>
          <w:sz w:val="20"/>
          <w:szCs w:val="20"/>
        </w:rPr>
        <w:t xml:space="preserve">wie folgt:</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1 </w:t>
      </w:r>
      <w:r>
        <w:rPr>
          <w:rFonts w:ascii="Arial" w:hAnsi="Arial" w:eastAsia="Arial" w:cs="Arial"/>
          <w:color w:val="363A40"/>
          <w:sz w:val="28"/>
          <w:szCs w:val="28"/>
        </w:rPr>
        <w:t xml:space="preserve">Vertragsgegenstand</w:t>
      </w:r>
      <w:bookmarkStart w:id="33816237" w:name="link1"/>
      <w:bookmarkEnd w:id="33816237"/>
      <w:hyperlink w:anchor="note1" w:history="1">
        <w:r>
          <w:rPr>
            <w:rFonts w:ascii="Arial" w:hAnsi="Arial" w:eastAsia="Arial" w:cs="Arial"/>
            <w:color w:val="006BB6"/>
            <w:position w:val="6"/>
            <w:sz w:val="31"/>
            <w:szCs w:val="31"/>
            <w:vertAlign w:val="superscript"/>
          </w:rPr>
          <w:t xml:space="preserve">1</w:t>
        </w:r>
      </w:hyperlink>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Anbieter übernimmt die Pflege der im Leistungsschein näher
beschriebenen Hardware. Der Leistungsschein ist integrierender
Bestandteil dieses Vertrages. Erweiterungen der Hardware sind in
einem gesonderten Nachtrag in die vertraglichen Vereinbarungen
aufzunehmen.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Pflege umfasst</w:t>
            </w:r>
          </w:p>
          <w:p>
            <w:pPr>
              <w:numPr>
                <w:ilvl w:val="0"/>
                <w:numId w:val="528271669"/>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die Beseitigung von Fehlern an der Hardware,</w:t>
            </w:r>
          </w:p>
          <w:p>
            <w:pPr>
              <w:numPr>
                <w:ilvl w:val="0"/>
                <w:numId w:val="528271669"/>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die Installation von zu ersetzender Hardware (Treiber etc)</w:t>
            </w:r>
          </w:p>
          <w:p>
            <w:pPr>
              <w:numPr>
                <w:ilvl w:val="0"/>
                <w:numId w:val="528271669"/>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die telefonische Beratung des Kunden in Fragen, die sich für
ihn bei der Hardwarenutzung ergeben und</w:t>
            </w:r>
          </w:p>
          <w:p>
            <w:pPr>
              <w:numPr>
                <w:ilvl w:val="0"/>
                <w:numId w:val="528271669"/>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periodische Wartungen der Hardware.</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Beseitigung von Störungen und Schäden, die durch
unsachgemäße Behandlung seitens des Kunden, durch Einwirkung
Dritter oder durch höhere Gewalt verursacht werden, ist nicht
Gegenstand dieses Vertrages, kann aber im Einzelfall gegen
gesonderte Vergütung vereinbart werden. Gleiches gilt für Schäden
und Störungen, die durch Umweltbedingungen am Aufstellungsort,
durch Fehler oder Nichtleistung der Stromversorgung, fehlerhafte
Software, Schadsoftware oder sonstige, nicht vom Anbieter zu
vertretende Einwirkungen verursacht werden.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 2 Vertragsdauer</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Vertrag beginnt mit seiner Unterzeichnung durch beide
Vertragsparteien.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Vertrag ist auf die Dauer von einem Jahr befristet und
verlängert sich jeweils um ein weiteres Jahr, falls er nicht mit
einer Frist von … Wochen zum Ende eines jeden Vertragsjahres von
einer der Vertragsparteien schriftlich gekündigt wird.</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Vertrag kann von jeder Seite fristlos gekündigt werden, wenn
eine oder mehrere Vereinbarungen durch die jeweils andere Seite
nicht eingehalten wurden und nach einer schriftlichen Aufforderung
zur Erfüllung diese schuldhaft nicht innerhalb einer Frist von 14
Tagen erfolgt ist. Die fristlose Kündigung ist auch ohne vorherige
Aufforderung zur Erfüllung möglich, wenn eine Fortsetzung des
Vertrages dem Kündigenden unter Berücksichtigung aller Umstände des
Einzelfalls und unter Abwägung der Interessen beider
Vertragsparteien nicht zugemutet werden kann.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Jede Kündigung bedarf zu ihrer Wirksamkeit der </w:t>
            </w:r>
            <w:r>
              <w:rPr>
                <w:rFonts w:ascii="Arial" w:hAnsi="Arial" w:eastAsia="Arial" w:cs="Arial"/>
                <w:color w:val="000000"/>
                <w:position w:val="0"/>
                <w:sz w:val="20"/>
                <w:szCs w:val="20"/>
                <w:shd w:val="clear" w:color="auto" w:fill="FFFFFF"/>
              </w:rPr>
              <w:t xml:space="preserve">Schriftform.</w:t>
            </w:r>
            <w:bookmarkStart w:id="33952670" w:name="link2"/>
            <w:bookmarkEnd w:id="33952670"/>
            <w:hyperlink w:anchor="note2" w:history="1">
              <w:r>
                <w:rPr>
                  <w:rFonts w:ascii="Arial" w:hAnsi="Arial" w:eastAsia="Arial" w:cs="Arial"/>
                  <w:color w:val="006BB6"/>
                  <w:position w:val="4"/>
                  <w:sz w:val="22"/>
                  <w:szCs w:val="22"/>
                  <w:shd w:val="clear" w:color="auto" w:fill="FFFFFF"/>
                  <w:vertAlign w:val="superscript"/>
                </w:rPr>
                <w:t xml:space="preserve">2</w:t>
              </w:r>
            </w:hyperlink>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 3 Leistungsumfang</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Anbieter ist verpflichtet, vom Kunden gemeldete Fehler der
Hardware zu untersuchen und dem Kunden nach Möglichkeit Hinweise zu
geben, um die Folgen des Fehlers zu beseitigen. Voraussetzung für
Fehlersuche und Fehlerbeseitigung ist die Erfüllung der dem Kunden
gem § 4 obliegenden Mitwirkungspflichten.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Anbieter verpflichtet sich dazu, den Kunden bzw das Personal
des Kunden über Art und Umfang der durchgeführten Arbeiten einmalig
zu unterrichten. Über durchgeführte Arbeiten ist ein schriftlicher
Bericht zu erstellen und dem Kunden an die Geschäftsadresse (auch
E-Mail) zu übersenden. Im Bericht sind jedenfalls Dauer,
Arbeitszeit und zu verwendete Ersatzteile anzuführen.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Sonstige Mängel sind nur zu beheben, wenn dies mit zumutbarem
Aufwand möglich ist. Die Pflegearbeiten werden am Installationsort
durchgeführt. Mit Einverständnis des Kunden können die Arbeiten
auch per Fernwartung erfolgen, sofern die technischen
Voraussetzungen beim Kunden gegeben sind.</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Hardware-Pflege erfolgt durch qualifiziertes Personal, das
mit der im Leistungsschein bezeichneten Hardware vertraut ist. Das
zur effizienten Ausführung der Pflegearbeiten geeignete, dem Stand
der Technik entsprechende Werkzeug stellt der Anbieter zur
Verfügung.</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Mitarbeiter des Anbieters treten in kein Arbeitsverhältnis
zum Kunden. Weisungen wird der Kunde ausschließlich dem vom
Anbieter benannten verantwortlichen Mitarbeiter mit Wirkung für und
gegen den Anbieter erteilen.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Nicht vom Vertrag erfasste zusätzliche Leistungen übernimmt der
Anbieter auf Anforderung des Kunden gegen gesonderte Zahlung, wenn
ihm zum Zeitpunkt der Anforderung ausreichendes Pflegepersonal zur
Verfügung steht. Die Berechnung erfolgt auf der Basis der zum
Zeitpunkt der Durchführung gültigen Stundensätze des Anbieters
unter Berücksichtigung des erforderlichen Zeitaufwandes.</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 4 </w:t>
      </w:r>
      <w:r>
        <w:rPr>
          <w:rFonts w:ascii="Arial" w:hAnsi="Arial" w:eastAsia="Arial" w:cs="Arial"/>
          <w:color w:val="363A40"/>
          <w:sz w:val="28"/>
          <w:szCs w:val="28"/>
        </w:rPr>
        <w:t xml:space="preserve">Mitwirkungspflichten</w:t>
      </w:r>
      <w:bookmarkStart w:id="19998441" w:name="link3"/>
      <w:bookmarkEnd w:id="19998441"/>
      <w:hyperlink w:anchor="note3" w:history="1">
        <w:r>
          <w:rPr>
            <w:rFonts w:ascii="Arial" w:hAnsi="Arial" w:eastAsia="Arial" w:cs="Arial"/>
            <w:color w:val="006BB6"/>
            <w:position w:val="6"/>
            <w:sz w:val="31"/>
            <w:szCs w:val="31"/>
            <w:vertAlign w:val="superscript"/>
          </w:rPr>
          <w:t xml:space="preserve">3</w:t>
        </w:r>
      </w:hyperlink>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Kunde wird auftretende Fehler dem Anbieter unverzüglich
mitteilen und diesen bei der Fehleruntersuchung und
Fehlerbeseitigung im Rahmen des Zumutbaren unterstützen. Hierzu
gehört es insbesondere, dem Anbieter auf dessen Anforderung
schriftliche Mängelberichte vorzulegen und sonstige Daten und
Protokolle bereitzustellen, die zur Analyse des Fehlers geeignet
sind.</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Kunde hält die für die Durchführung der Pflegearbeiten
erforderlichen technischen Einrichtungen wie Stromversorgung,
Telefonverbindung und Datenübertragungsleitungen funktionsbereit
und stellt diese im zur Wartung erforderlichen Umfang kostenlos zur
Verfügung.</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Kunde benennt dem Anbieter einen sachkundigen Mitarbeiter,
der die zur Durchführung des Vertrages erforderlichen Auskünfte
erteilen und Entscheidungen selbst treffen oder veranlassen
kann.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 5 Fernmündliche Beratung und
Störungsmeldung</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vom Kunden in diesem Vertrag benannte Systemverantwortliche
und sein Stellvertreter erhalten durch den Anbieter telefonisch,
per E-Mail oder per Ticketsystem Hilfestellung bei Störungen an der
Hardware und bei Bedienungsproblemen.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„Hotline“ ist montags bis freitags von … Uhr bis … Uhr unter
der Rufnummer … zu erreichen.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Auf Anfragen zu Störungen, Bedienungsproblemen wird montags bis
freitags von … Uhr bis … Uhr binnen … Stunden geantwortet und
entsprechende Maßnahmen zur Störungsbehebung ergriffen.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Eine darüber hinausgehende Pflegebereitschaft bedarf der
besonderen Vereinbarung.</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 6 Systemverantwortlicher</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Kunde benennt als Systemverantwortliche(n) Herrn/Frau … und
als dessen Stellvertreter(in) Herrn/Frau …</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Der/die Systemverantwortliche und sein(e)/ihr(e)
Stellvertreter(in) sind Ansprechpartner des Anbieters in allen
Fragen der Durchführung des Vertrages.</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 7 Entgelt</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Entgelt für die Leistungen des Anbieters nach diesem Vertrag
beträgt vierteljährlich EUR … Es ist bei einer Erweiterung
oder Änderung der zu pflegenden Hardware anzupassen.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Entgelt ist jeweils im Voraus für ein Kalendervierteljahr zu
bezahlen. Für das erste Kalendervierteljahr ist es 30 Tage nach
Unterzeichnung dieses Vertrages und Rechnungsstellung durch den
Anbieter zur Zahlung fällig. Danach ist das Entgelt jeweils 30 Tage
nach Beginn eines Kalendervierteljahres und Rechnungsstellung durch
den Anbieter zur Zahlung fällig.</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Im Pauschalpreis gem § 4 Abs 1 nicht enthalten
sind Pflegearbeiten, die aufgrund von Fehlbedienung oder
fahrlässiger bzw vorsätzlicher Beschädigung oder Veränderung der
Hardware entstanden sind. Diese Pflegearbeiten werden auf der Basis
der zum Zeitpunkt der Auftragserteilung im Anhang I befindlichen
Stundensätze des Anbieters nach entstandenem Zeitaufwand
berechnet.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Reisekosten, Reisezeiten, Übernachtungskosten und Spesen sind
Bestandteil der Vertragssumme und werden nicht gesondert
berechnet.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Anbieter ist zu einer angemessenen Anhebung der vereinbarten
Pauschale nach schriftlicher Ankündigung berechtigt. Eine solche
Anhebung tritt frühestens sechs Monate nach Ablauf des Quartals in
Kraft, in dem der Anbieter die Änderung mitgeteilt hat und darf das
Entgelt des vorausgehenden Zwölfmonatszeitraumes um nicht mehr als
10 % überschreiten. Sofern der Kunde mit der Anpassung nicht
einverstanden ist, kann er diesen Vertrag mit einmonatiger Frist
zum Tag des Inkrafttretens des neuen Entgelts schriftlich
kündigen.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Zu den zu berechnenden Vergütungen tritt die jeweils geltende
Umsatzsteuer hinzu.</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 8 Geheimhaltung,
Datenschutz</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Beide Parteien haben über alle ihnen bekannt gewordenen
geschäftlichen und betrieblichen Angelegenheiten Stillschweigen zu
bewahren und sämtliche im Zusammenhang mit der Erfüllung dieses
Vertrages stehenden Informationen auch über dessen Ablauf hinaus
streng vertraulich zu behandeln. Gleiches gilt für personenbezogene
Daten, die unter die Bestimmungen des Datenschutzgesetzes
fallen.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Anbieter verpflichtet sich, Informationen, Unterlagen oder
Daten iSv § 7 Abs 1 weder aufzuzeichnen noch zu speichern
oder zu vervielfältigen oder sonst in irgendeiner Form außer zu
Servicezwecken zu nutzen oder zu verwerten.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Anbieter verpflichtet sich, sein Personal entsprechend zu
unterweisen und zur Einhaltung der Vereinbarung nach § 7
Abs 1 schriftlich zu verpflichten.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 9 Gewährleistung</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Anbieter übernimmt die Gewährleistung dafür, dass die
vertragsgegenständliche Hardware während der Vertragslaufzeit die
im Leistungsschein spezifizierten Funktionen aufweist.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Anbieter sichert zu, dass die übernommenen Arbeiten mit
größter Sorgfalt und entsprechend dem nach besten Kräften
erreichbaren Stand der Wissenschaft und Technik ausgeführt
werden.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Systemfehler, Änderungsnotwendigkeiten und sonstige, die
Notwendigkeit von Pflegemaßnahmen anzeigende Umstände sind vom
Kunden dem Anbieter umgehend mitzuteilen.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Vom Kunden mitgeteilte Fehler sind zu beseitigen. Erweist sich
eine Fehlerbeseitigung als nicht möglich, muss der Anbieter eine
Ausweichlösung entwickeln.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Kommt der Anbieter der Pflicht zur Mängelbeseitigung innerhalb
einer angemessenen Frist nicht nach, so kann der Kunde den Mangel
selbst beseitigen und Ersatz der erforderlichen Aufwendungen,
Herabsetzung des Entgelts beziehungsweise Schadenersatz verlangen
und vom Vertrag zurücktreten.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Im Falle von Schadenersatz und Rücktritt bedarf es keiner
Fristsetzung, wenn der Anbieter die Mängelbeseitigung verweigert,
wenn die Mängelbeseitigung fehlgeschlagen oder dem Kunden
unzumutbar ist.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Gewährleistungsansprüche des Kunden verjähren innerhalb einer
Frist von zwei Jahren ab Zugang der Mängelanzeige.</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 10 Haftung des Anbieters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Anbieter übernimmt die Haftung für unmittelbare
Personenschäden, die dem Kunden durch Vorsatz, grobe Fahrlässigkeit
oder leicht fahrlässige Verletzung vertragswesentlicher Pflichten
entstanden sind. Für Vermögensschäden wird nur gehaftet, wenn ein
grob fahrlässiges oder vorsätzliches Handeln des Anbieters oder
seiner Erfüllungsgehilfen vorliegt.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Haftung des Anbieters in Zusammenhang mit diesem Vertrag ist
pro schadensstiftendem Ereignis mit EUR … (in Worten … Euro)
begrenzt. Für Personenschäden gilt diese Haftungsbegrenzung
nicht.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Für Datenverluste haftet der Anbieter – außer bei vorsätzlichem
oder grob fahrlässigem Handeln – nur, wenn der Kunde in
regelmäßigen Abständen Systemprüfungen und Datensicherungen
durchgeführt hat und nur in dem Umfang, in dem die Daten mit
vertretbarem Aufwand reproduzierbar sind.</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 11 Allfälliges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Sollten einzelne Bestimmungen dieses Vertrages unwirksam sein
oder werden, oder sollte ein wesentlicher Punkt nicht geregelt
sein, so bleibt die Wirksamkeit der übrigen Bestimmungen unberührt.
Die Parteien verpflichten sich, anstelle der unwirksamen Bestimmung
eine Regelung herbeizuführen, die dem beabsichtigten Erfolg am
nächsten kommt und die die Parteien vereinbart hätten, wenn sie die
Unwirksamkeit der Bestimmung gekannt hätten (salvatorische
Klausel).</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Änderungen und Ergänzungen dieses Vertrages sind nur in
Schriftform und bei Bezugnahme auf diesen Vertrag wirksam und von
beiden Parteien zu unterzeichnen.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Erfüllungsort und Gerichtsstand für alle Streitigkeiten aus
diesem Vertrag ist der Geschäftssitz des Anbieters, sofern der
Kunde Unternehmer ist.</w:t>
            </w:r>
          </w:p>
        </w:tc>
      </w:tr>
    </w:tbl>
    <w:p>
      <w:pPr>
        <w:widowControl w:val="on"/>
        <w:pBdr/>
        <w:spacing w:before="140" w:after="240" w:line="288" w:lineRule="auto"/>
        <w:ind w:left="0" w:right="0"/>
        <w:jc w:val="left"/>
      </w:pPr>
      <w:r>
        <w:rPr>
          <w:rFonts w:ascii="Arial" w:hAnsi="Arial" w:eastAsia="Arial" w:cs="Arial"/>
          <w:color w:val="000000"/>
          <w:sz w:val="20"/>
          <w:szCs w:val="20"/>
        </w:rPr>
        <w:t xml:space="preserve">…, am …</w:t>
      </w:r>
    </w:p>
    <w:p>
      <w:pPr>
        <w:widowControl w:val="on"/>
        <w:pBdr/>
        <w:spacing w:before="140" w:after="240" w:line="288" w:lineRule="auto"/>
        <w:ind w:left="0" w:right="0"/>
        <w:jc w:val="left"/>
      </w:pPr>
      <w:r>
        <w:rPr>
          <w:rFonts w:ascii="Arial" w:hAnsi="Arial" w:eastAsia="Arial" w:cs="Arial"/>
          <w:color w:val="000000"/>
          <w:sz w:val="20"/>
          <w:szCs w:val="20"/>
        </w:rPr>
        <w:t xml:space="preserve">…</w:t>
      </w:r>
      <w:r>
        <w:rPr>
          <w:rFonts w:ascii="Arial" w:hAnsi="Arial" w:eastAsia="Arial" w:cs="Arial"/>
          <w:color w:val="000000"/>
          <w:sz w:val="20"/>
          <w:szCs w:val="20"/>
        </w:rPr>
        <w:br/>
        <w:t xml:space="preserve">[Unterschrift Anbieter]</w:t>
      </w:r>
    </w:p>
    <w:p>
      <w:pPr>
        <w:widowControl w:val="on"/>
        <w:pBdr/>
        <w:spacing w:before="140" w:after="240" w:line="288" w:lineRule="auto"/>
        <w:ind w:left="0" w:right="0"/>
        <w:jc w:val="left"/>
      </w:pPr>
      <w:r>
        <w:rPr>
          <w:rFonts w:ascii="Arial" w:hAnsi="Arial" w:eastAsia="Arial" w:cs="Arial"/>
          <w:color w:val="000000"/>
          <w:sz w:val="20"/>
          <w:szCs w:val="20"/>
        </w:rPr>
        <w:t xml:space="preserve">…</w:t>
      </w:r>
      <w:r>
        <w:rPr>
          <w:rFonts w:ascii="Arial" w:hAnsi="Arial" w:eastAsia="Arial" w:cs="Arial"/>
          <w:color w:val="000000"/>
          <w:sz w:val="20"/>
          <w:szCs w:val="20"/>
        </w:rPr>
        <w:br/>
        <w:t xml:space="preserve">[Unterschrift Kunde]</w:t>
      </w:r>
    </w:p>
    <w:p>
      <w:pPr>
        <w:widowControl w:val="on"/>
        <w:pBdr/>
        <w:spacing w:before="140" w:after="240" w:line="288" w:lineRule="auto"/>
        <w:ind w:left="0" w:right="0"/>
        <w:jc w:val="left"/>
      </w:pPr>
      <w:r>
        <w:rPr>
          <w:rFonts w:ascii="Arial" w:hAnsi="Arial" w:eastAsia="Arial" w:cs="Arial"/>
          <w:color w:val="000000"/>
          <w:sz w:val="20"/>
          <w:szCs w:val="20"/>
        </w:rPr>
        <w:t xml:space="preserve">Anlage:</w:t>
      </w:r>
      <w:r>
        <w:rPr>
          <w:rFonts w:ascii="Arial" w:hAnsi="Arial" w:eastAsia="Arial" w:cs="Arial"/>
          <w:color w:val="000000"/>
          <w:sz w:val="20"/>
          <w:szCs w:val="20"/>
        </w:rPr>
        <w:br/>
        <w:t xml:space="preserve">Leistungsschein</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Anmerkungen:</w:t>
      </w:r>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18789185" w:name="note1"/>
            <w:bookmarkEnd w:id="18789185"/>
            <w:bookmarkStart w:id="5149228460150" w:name="note1"/>
            <w:r>
              <w:rPr>
                <w:rFonts w:ascii="Arial" w:hAnsi="Arial" w:eastAsia="Arial" w:cs="Arial"/>
                <w:color w:val="000000"/>
                <w:position w:val="0"/>
                <w:sz w:val="20"/>
                <w:szCs w:val="20"/>
              </w:rPr>
              <w:t xml:space="preserve">[1]</w:t>
            </w:r>
            <w:bookmarkEnd w:id="5149228460150"/>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Vertragsgegenstand</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Ein Leistungsschein sollte jedenfalls Angaben über sämtliche
Arten und Stückzahlen der Hardwarekomponenten, Systemprogramme,
Ein- und Ausgabegeräte, aber auch über weitere Leistungen wie etwa
Einweisungen, Tests oder Installationen enthalten. Der
Leistungsschein sollte somit alle bedeutenden Hardware- und
Softwarekomponenten des gesamten Systems enthalten sowie sämtliche
Haupt- und Nebenleistungen.</w:t>
            </w:r>
          </w:p>
          <w:p>
            <w:pPr>
              <w:widowControl w:val="on"/>
              <w:pBdr/>
              <w:spacing w:before="0" w:after="0" w:line="288" w:lineRule="auto"/>
              <w:ind w:left="0" w:right="0"/>
              <w:jc w:val="left"/>
              <w:textAlignment w:val="top"/>
            </w:pPr>
            <w:hyperlink w:anchor="link1" w:history="1">
              <w:r>
                <w:rPr>
                  <w:rFonts w:ascii="Arial" w:hAnsi="Arial" w:eastAsia="Arial" w:cs="Arial"/>
                  <w:color w:val="006BB6"/>
                  <w:position w:val="0"/>
                  <w:sz w:val="20"/>
                  <w:szCs w:val="20"/>
                  <w:u w:val="single"/>
                </w:rPr>
                <w:t xml:space="preserve">Zurück</w:t>
              </w:r>
            </w:hyperlink>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28588663" w:name="note2"/>
            <w:bookmarkEnd w:id="28588663"/>
            <w:bookmarkStart w:id="7531302251279" w:name="note2"/>
            <w:r>
              <w:rPr>
                <w:rFonts w:ascii="Arial" w:hAnsi="Arial" w:eastAsia="Arial" w:cs="Arial"/>
                <w:color w:val="000000"/>
                <w:position w:val="0"/>
                <w:sz w:val="20"/>
                <w:szCs w:val="20"/>
              </w:rPr>
              <w:t xml:space="preserve">[2]</w:t>
            </w:r>
            <w:bookmarkEnd w:id="7531302251279"/>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Vertragsdauer</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Falls der Kunde Verbraucher sein sollte, muss gem § 6
Abs 1 Z 2 KSchG im Vertrag bereits geregelt sein</w:t>
            </w:r>
          </w:p>
          <w:p>
            <w:pPr>
              <w:numPr>
                <w:ilvl w:val="0"/>
                <w:numId w:val="655376947"/>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dass es ohne Erklärung der Kündigung zu einer automatischen
Verlängerung der ursprünglichen Vertragsdauer kommt,</w:t>
            </w:r>
          </w:p>
          <w:p>
            <w:pPr>
              <w:numPr>
                <w:ilvl w:val="0"/>
                <w:numId w:val="655376947"/>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der Hinweis, dass der Verbraucher die automatische
Vertragsverlängerung durch Kündigung verhindern kann.</w:t>
            </w:r>
          </w:p>
          <w:p>
            <w:pPr>
              <w:numPr>
                <w:ilvl w:val="0"/>
                <w:numId w:val="655376947"/>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eine dem Verbraucher zur Kündigung zur Verfügung stehende
Frist,</w:t>
            </w:r>
          </w:p>
          <w:p>
            <w:pPr>
              <w:numPr>
                <w:ilvl w:val="0"/>
                <w:numId w:val="655376947"/>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die Verpflichtung des Unternehmers, den Verbraucher bei Beginn
der Kündigungsfrist auf die Kündigungsmöglichkeit gesondert (und
somit erneut) hinzuweisen.</w:t>
            </w:r>
          </w:p>
          <w:p>
            <w:pPr>
              <w:widowControl w:val="on"/>
              <w:pBdr/>
              <w:spacing w:before="0" w:after="0" w:line="288" w:lineRule="auto"/>
              <w:ind w:left="0" w:right="0"/>
              <w:jc w:val="left"/>
              <w:textAlignment w:val="top"/>
            </w:pPr>
            <w:hyperlink w:anchor="link2" w:history="1">
              <w:r>
                <w:rPr>
                  <w:rFonts w:ascii="Arial" w:hAnsi="Arial" w:eastAsia="Arial" w:cs="Arial"/>
                  <w:color w:val="006BB6"/>
                  <w:position w:val="0"/>
                  <w:sz w:val="20"/>
                  <w:szCs w:val="20"/>
                  <w:u w:val="single"/>
                </w:rPr>
                <w:t xml:space="preserve">Zurück</w:t>
              </w:r>
            </w:hyperlink>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60567585" w:name="note3"/>
            <w:bookmarkEnd w:id="60567585"/>
            <w:bookmarkStart w:id="3149407599690" w:name="note3"/>
            <w:r>
              <w:rPr>
                <w:rFonts w:ascii="Arial" w:hAnsi="Arial" w:eastAsia="Arial" w:cs="Arial"/>
                <w:color w:val="000000"/>
                <w:position w:val="0"/>
                <w:sz w:val="20"/>
                <w:szCs w:val="20"/>
              </w:rPr>
              <w:t xml:space="preserve">[3]</w:t>
            </w:r>
            <w:bookmarkEnd w:id="3149407599690"/>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Mitwirkungspflichten</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 1168 Abs 2 ABGB verpflichtet den Auftraggeber eines
Werkes, bei der Herstellung des Werkes mitzuwirken, soweit seine
Mitwirkung zum Gelingen des Werkes erforderlich ist. Verletzt
dieser oder einer seiner Erfüllungsgehilfen diese
Mitwirkungspflicht, ist der Werkunternehmer berechtigt, nach
Setzung einer angemessenen Nachfrist vom Vertrag zurückzutreten.
Verschulden oder Mitverschulden im schadenersatzrechtlichen Sinn
kann zudem Konsequenz der Verletzung von Mitwirkungspflichten
sein.</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Bei Beendigung des Vertragsverhältnisses aufgrund der Verletzung
der Mitwirkungspflicht durch den Auftraggeber entfällt ebenso die
Pflicht zur Herstellung (Vollendung) des Werkes durch den
Werkunternehmer. Der Kunde hat dennoch alle bis zur
Vertragsaufhebung erbrachten Leistungen zu bezahlen, auch wenn
diese Teilleistungen für ihn wertlos geworden sind.</w:t>
            </w:r>
          </w:p>
          <w:p>
            <w:pPr>
              <w:widowControl w:val="on"/>
              <w:pBdr/>
              <w:spacing w:before="0" w:after="0" w:line="288" w:lineRule="auto"/>
              <w:ind w:left="0" w:right="0"/>
              <w:jc w:val="left"/>
              <w:textAlignment w:val="top"/>
            </w:pPr>
            <w:hyperlink w:anchor="link3" w:history="1">
              <w:r>
                <w:rPr>
                  <w:rFonts w:ascii="Arial" w:hAnsi="Arial" w:eastAsia="Arial" w:cs="Arial"/>
                  <w:color w:val="006BB6"/>
                  <w:position w:val="0"/>
                  <w:sz w:val="20"/>
                  <w:szCs w:val="20"/>
                  <w:u w:val="single"/>
                </w:rPr>
                <w:t xml:space="preserve">Zurück</w:t>
              </w:r>
            </w:hyperlink>
          </w:p>
        </w:tc>
      </w:tr>
    </w:tbl>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5376947">
    <w:multiLevelType w:val="hybridMultilevel"/>
    <w:lvl w:ilvl="0">
      <w:start w:val=""/>
      <w:numFmt w:val="bullet"/>
      <w:lvlText w:val="●"/>
      <w:lvlJc w:val="left"/>
      <w:pPr>
        <w:ind w:left="720" w:hanging="360"/>
      </w:pPr>
      <w:rPr/>
    </w:lvl>
    <w:lvl w:ilvl="1">
      <w:start w:val=""/>
      <w:numFmt w:val="bullet"/>
      <w:lvlText w:val="o"/>
      <w:lvlJc w:val="left"/>
      <w:pPr>
        <w:ind w:left="1440" w:hanging="360"/>
      </w:pPr>
      <w:rPr>
        <w:rFonts w:ascii="Courier New" w:hAnsi="Courier New" w:cs="Courier New" w:hint="default"/>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528271669">
    <w:multiLevelType w:val="hybridMultilevel"/>
    <w:lvl w:ilvl="0">
      <w:start w:val="1"/>
      <w:numFmt w:val="lowerLetter"/>
      <w:lvlText w:val="%1."/>
      <w:lvlJc w:val="left"/>
      <w:pPr>
        <w:ind w:left="720" w:hanging="360"/>
      </w:pPr>
      <w:rPr/>
    </w:lvl>
    <w:lvl w:ilvl="1">
      <w:start w:val=""/>
      <w:numFmt w:val="lowerLetter"/>
      <w:lvlText w:val="%2."/>
      <w:lvlJc w:val="left"/>
      <w:pPr>
        <w:ind w:left="1440" w:hanging="360"/>
      </w:pPr>
      <w:rPr/>
    </w:lvl>
    <w:lvl w:ilvl="2">
      <w:start w:val=""/>
      <w:numFmt w:val="lowerLetter"/>
      <w:lvlText w:val="%3."/>
      <w:lvlJc w:val="left"/>
      <w:pPr>
        <w:ind w:left="2160" w:hanging="360"/>
      </w:pPr>
      <w:rPr/>
    </w:lvl>
    <w:lvl w:ilvl="3">
      <w:start w:val=""/>
      <w:numFmt w:val="lowerLetter"/>
      <w:lvlText w:val="%4."/>
      <w:lvlJc w:val="left"/>
      <w:pPr>
        <w:ind w:left="2880" w:hanging="360"/>
      </w:pPr>
      <w:rPr/>
    </w:lvl>
    <w:lvl w:ilvl="4">
      <w:start w:val=""/>
      <w:numFmt w:val="lowerLetter"/>
      <w:lvlText w:val="%5."/>
      <w:lvlJc w:val="left"/>
      <w:pPr>
        <w:ind w:left="3600" w:hanging="360"/>
      </w:pPr>
      <w:rPr/>
    </w:lvl>
    <w:lvl w:ilvl="5">
      <w:start w:val=""/>
      <w:numFmt w:val="lowerLetter"/>
      <w:lvlText w:val="%6."/>
      <w:lvlJc w:val="left"/>
      <w:pPr>
        <w:ind w:left="4320" w:hanging="360"/>
      </w:pPr>
      <w:rPr/>
    </w:lvl>
    <w:lvl w:ilvl="6">
      <w:start w:val=""/>
      <w:numFmt w:val="lowerLetter"/>
      <w:lvlText w:val="%7."/>
      <w:lvlJc w:val="left"/>
      <w:pPr>
        <w:ind w:left="5040" w:hanging="360"/>
      </w:pPr>
      <w:rPr/>
    </w:lvl>
    <w:lvl w:ilvl="7">
      <w:start w:val=""/>
      <w:numFmt w:val="lowerLetter"/>
      <w:lvlText w:val="%8."/>
      <w:lvlJc w:val="left"/>
      <w:pPr>
        <w:ind w:left="5760" w:hanging="360"/>
      </w:pPr>
      <w:rPr/>
    </w:lvl>
    <w:lvl w:ilvl="8">
      <w:start w:val=""/>
      <w:numFmt w:val="lowerLetter"/>
      <w:lvlText w:val="%9."/>
      <w:lvlJc w:val="left"/>
      <w:pPr>
        <w:ind w:left="6480" w:hanging="360"/>
      </w:pPr>
      <w:rPr/>
    </w:lvl>
  </w:abstractNum>
  <w:abstractNum w:abstractNumId="22744220">
    <w:multiLevelType w:val="hybridMultilevel"/>
    <w:lvl w:ilvl="0" w:tplc="48611675">
      <w:start w:val="1"/>
      <w:numFmt w:val="decimal"/>
      <w:lvlText w:val="%1."/>
      <w:lvlJc w:val="left"/>
      <w:pPr>
        <w:ind w:left="720" w:hanging="360"/>
      </w:pPr>
    </w:lvl>
    <w:lvl w:ilvl="1" w:tplc="48611675" w:tentative="1">
      <w:start w:val="1"/>
      <w:numFmt w:val="lowerLetter"/>
      <w:lvlText w:val="%2."/>
      <w:lvlJc w:val="left"/>
      <w:pPr>
        <w:ind w:left="1440" w:hanging="360"/>
      </w:pPr>
    </w:lvl>
    <w:lvl w:ilvl="2" w:tplc="48611675" w:tentative="1">
      <w:start w:val="1"/>
      <w:numFmt w:val="lowerRoman"/>
      <w:lvlText w:val="%3."/>
      <w:lvlJc w:val="right"/>
      <w:pPr>
        <w:ind w:left="2160" w:hanging="180"/>
      </w:pPr>
    </w:lvl>
    <w:lvl w:ilvl="3" w:tplc="48611675" w:tentative="1">
      <w:start w:val="1"/>
      <w:numFmt w:val="decimal"/>
      <w:lvlText w:val="%4."/>
      <w:lvlJc w:val="left"/>
      <w:pPr>
        <w:ind w:left="2880" w:hanging="360"/>
      </w:pPr>
    </w:lvl>
    <w:lvl w:ilvl="4" w:tplc="48611675" w:tentative="1">
      <w:start w:val="1"/>
      <w:numFmt w:val="lowerLetter"/>
      <w:lvlText w:val="%5."/>
      <w:lvlJc w:val="left"/>
      <w:pPr>
        <w:ind w:left="3600" w:hanging="360"/>
      </w:pPr>
    </w:lvl>
    <w:lvl w:ilvl="5" w:tplc="48611675" w:tentative="1">
      <w:start w:val="1"/>
      <w:numFmt w:val="lowerRoman"/>
      <w:lvlText w:val="%6."/>
      <w:lvlJc w:val="right"/>
      <w:pPr>
        <w:ind w:left="4320" w:hanging="180"/>
      </w:pPr>
    </w:lvl>
    <w:lvl w:ilvl="6" w:tplc="48611675" w:tentative="1">
      <w:start w:val="1"/>
      <w:numFmt w:val="decimal"/>
      <w:lvlText w:val="%7."/>
      <w:lvlJc w:val="left"/>
      <w:pPr>
        <w:ind w:left="5040" w:hanging="360"/>
      </w:pPr>
    </w:lvl>
    <w:lvl w:ilvl="7" w:tplc="48611675" w:tentative="1">
      <w:start w:val="1"/>
      <w:numFmt w:val="lowerLetter"/>
      <w:lvlText w:val="%8."/>
      <w:lvlJc w:val="left"/>
      <w:pPr>
        <w:ind w:left="5760" w:hanging="360"/>
      </w:pPr>
    </w:lvl>
    <w:lvl w:ilvl="8" w:tplc="48611675" w:tentative="1">
      <w:start w:val="1"/>
      <w:numFmt w:val="lowerRoman"/>
      <w:lvlText w:val="%9."/>
      <w:lvlJc w:val="right"/>
      <w:pPr>
        <w:ind w:left="6480" w:hanging="180"/>
      </w:pPr>
    </w:lvl>
  </w:abstractNum>
  <w:abstractNum w:abstractNumId="516388464">
    <w:multiLevelType w:val="hybridMultilevel"/>
    <w:lvl w:ilvl="0">
      <w:start w:val=""/>
      <w:numFmt w:val="bullet"/>
      <w:lvlText w:val="●"/>
      <w:lvlJc w:val="left"/>
      <w:pPr>
        <w:ind w:left="720" w:hanging="360"/>
      </w:pPr>
      <w:rPr/>
    </w:lvl>
    <w:lvl w:ilvl="1">
      <w:start w:val=""/>
      <w:numFmt w:val="bullet"/>
      <w:lvlText w:val="o"/>
      <w:lvlJc w:val="left"/>
      <w:pPr>
        <w:ind w:left="1440" w:hanging="360"/>
      </w:pPr>
      <w:rPr>
        <w:rFonts w:ascii="Courier New" w:hAnsi="Courier New" w:cs="Courier New" w:hint="default"/>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947930932">
    <w:multiLevelType w:val="hybridMultilevel"/>
    <w:lvl w:ilvl="0">
      <w:start w:val="1"/>
      <w:numFmt w:val="lowerLetter"/>
      <w:lvlText w:val="%1."/>
      <w:lvlJc w:val="left"/>
      <w:pPr>
        <w:ind w:left="720" w:hanging="360"/>
      </w:pPr>
      <w:rPr/>
    </w:lvl>
    <w:lvl w:ilvl="1">
      <w:start w:val=""/>
      <w:numFmt w:val="lowerLetter"/>
      <w:lvlText w:val="%2."/>
      <w:lvlJc w:val="left"/>
      <w:pPr>
        <w:ind w:left="1440" w:hanging="360"/>
      </w:pPr>
      <w:rPr/>
    </w:lvl>
    <w:lvl w:ilvl="2">
      <w:start w:val=""/>
      <w:numFmt w:val="lowerLetter"/>
      <w:lvlText w:val="%3."/>
      <w:lvlJc w:val="left"/>
      <w:pPr>
        <w:ind w:left="2160" w:hanging="360"/>
      </w:pPr>
      <w:rPr/>
    </w:lvl>
    <w:lvl w:ilvl="3">
      <w:start w:val=""/>
      <w:numFmt w:val="lowerLetter"/>
      <w:lvlText w:val="%4."/>
      <w:lvlJc w:val="left"/>
      <w:pPr>
        <w:ind w:left="2880" w:hanging="360"/>
      </w:pPr>
      <w:rPr/>
    </w:lvl>
    <w:lvl w:ilvl="4">
      <w:start w:val=""/>
      <w:numFmt w:val="lowerLetter"/>
      <w:lvlText w:val="%5."/>
      <w:lvlJc w:val="left"/>
      <w:pPr>
        <w:ind w:left="3600" w:hanging="360"/>
      </w:pPr>
      <w:rPr/>
    </w:lvl>
    <w:lvl w:ilvl="5">
      <w:start w:val=""/>
      <w:numFmt w:val="lowerLetter"/>
      <w:lvlText w:val="%6."/>
      <w:lvlJc w:val="left"/>
      <w:pPr>
        <w:ind w:left="4320" w:hanging="360"/>
      </w:pPr>
      <w:rPr/>
    </w:lvl>
    <w:lvl w:ilvl="6">
      <w:start w:val=""/>
      <w:numFmt w:val="lowerLetter"/>
      <w:lvlText w:val="%7."/>
      <w:lvlJc w:val="left"/>
      <w:pPr>
        <w:ind w:left="5040" w:hanging="360"/>
      </w:pPr>
      <w:rPr/>
    </w:lvl>
    <w:lvl w:ilvl="7">
      <w:start w:val=""/>
      <w:numFmt w:val="lowerLetter"/>
      <w:lvlText w:val="%8."/>
      <w:lvlJc w:val="left"/>
      <w:pPr>
        <w:ind w:left="5760" w:hanging="360"/>
      </w:pPr>
      <w:rPr/>
    </w:lvl>
    <w:lvl w:ilvl="8">
      <w:start w:val=""/>
      <w:numFmt w:val="lowerLetter"/>
      <w:lvlText w:val="%9."/>
      <w:lvlJc w:val="left"/>
      <w:pPr>
        <w:ind w:left="6480" w:hanging="360"/>
      </w:pPr>
      <w:rPr/>
    </w:lvl>
  </w:abstractNum>
  <w:abstractNum w:abstractNumId="22744219">
    <w:multiLevelType w:val="hybridMultilevel"/>
    <w:lvl w:ilvl="0" w:tplc="56106351">
      <w:start w:val="1"/>
      <w:numFmt w:val="decimal"/>
      <w:lvlText w:val="%1."/>
      <w:lvlJc w:val="left"/>
      <w:pPr>
        <w:ind w:left="720" w:hanging="360"/>
      </w:pPr>
    </w:lvl>
    <w:lvl w:ilvl="1" w:tplc="56106351" w:tentative="1">
      <w:start w:val="1"/>
      <w:numFmt w:val="lowerLetter"/>
      <w:lvlText w:val="%2."/>
      <w:lvlJc w:val="left"/>
      <w:pPr>
        <w:ind w:left="1440" w:hanging="360"/>
      </w:pPr>
    </w:lvl>
    <w:lvl w:ilvl="2" w:tplc="56106351" w:tentative="1">
      <w:start w:val="1"/>
      <w:numFmt w:val="lowerRoman"/>
      <w:lvlText w:val="%3."/>
      <w:lvlJc w:val="right"/>
      <w:pPr>
        <w:ind w:left="2160" w:hanging="180"/>
      </w:pPr>
    </w:lvl>
    <w:lvl w:ilvl="3" w:tplc="56106351" w:tentative="1">
      <w:start w:val="1"/>
      <w:numFmt w:val="decimal"/>
      <w:lvlText w:val="%4."/>
      <w:lvlJc w:val="left"/>
      <w:pPr>
        <w:ind w:left="2880" w:hanging="360"/>
      </w:pPr>
    </w:lvl>
    <w:lvl w:ilvl="4" w:tplc="56106351" w:tentative="1">
      <w:start w:val="1"/>
      <w:numFmt w:val="lowerLetter"/>
      <w:lvlText w:val="%5."/>
      <w:lvlJc w:val="left"/>
      <w:pPr>
        <w:ind w:left="3600" w:hanging="360"/>
      </w:pPr>
    </w:lvl>
    <w:lvl w:ilvl="5" w:tplc="56106351" w:tentative="1">
      <w:start w:val="1"/>
      <w:numFmt w:val="lowerRoman"/>
      <w:lvlText w:val="%6."/>
      <w:lvlJc w:val="right"/>
      <w:pPr>
        <w:ind w:left="4320" w:hanging="180"/>
      </w:pPr>
    </w:lvl>
    <w:lvl w:ilvl="6" w:tplc="56106351" w:tentative="1">
      <w:start w:val="1"/>
      <w:numFmt w:val="decimal"/>
      <w:lvlText w:val="%7."/>
      <w:lvlJc w:val="left"/>
      <w:pPr>
        <w:ind w:left="5040" w:hanging="360"/>
      </w:pPr>
    </w:lvl>
    <w:lvl w:ilvl="7" w:tplc="56106351" w:tentative="1">
      <w:start w:val="1"/>
      <w:numFmt w:val="lowerLetter"/>
      <w:lvlText w:val="%8."/>
      <w:lvlJc w:val="left"/>
      <w:pPr>
        <w:ind w:left="5760" w:hanging="360"/>
      </w:pPr>
    </w:lvl>
    <w:lvl w:ilvl="8" w:tplc="56106351" w:tentative="1">
      <w:start w:val="1"/>
      <w:numFmt w:val="lowerRoman"/>
      <w:lvlText w:val="%9."/>
      <w:lvlJc w:val="right"/>
      <w:pPr>
        <w:ind w:left="6480" w:hanging="180"/>
      </w:pPr>
    </w:lvl>
  </w:abstractNum>
  <w:abstractNum w:abstractNumId="22744218">
    <w:multiLevelType w:val="hybridMultilevel"/>
    <w:lvl w:ilvl="0" w:tplc="957807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744218">
    <w:abstractNumId w:val="22744218"/>
  </w:num>
  <w:num w:numId="22744219">
    <w:abstractNumId w:val="22744219"/>
  </w:num>
  <w:num w:numId="947930932">
    <w:abstractNumId w:val="947930932"/>
  </w:num>
  <w:num w:numId="516388464">
    <w:abstractNumId w:val="516388464"/>
  </w:num>
  <w:num w:numId="22744220">
    <w:abstractNumId w:val="22744220"/>
  </w:num>
  <w:num w:numId="528271669">
    <w:abstractNumId w:val="528271669"/>
  </w:num>
  <w:num w:numId="655376947">
    <w:abstractNumId w:val="6553769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774746741" Type="http://schemas.openxmlformats.org/officeDocument/2006/relationships/numbering" Target="numbering.xml"/><Relationship Id="rId665988377"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